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03966">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b/>
          <w:bCs/>
          <w:color w:val="auto"/>
          <w:sz w:val="36"/>
          <w:szCs w:val="36"/>
          <w:highlight w:val="none"/>
          <w:lang w:val="en-US" w:eastAsia="zh-CN"/>
        </w:rPr>
      </w:pPr>
      <w:r>
        <w:rPr>
          <w:rFonts w:hint="eastAsia" w:asciiTheme="minorEastAsia" w:hAnsiTheme="minorEastAsia"/>
          <w:b/>
          <w:bCs/>
          <w:color w:val="auto"/>
          <w:sz w:val="36"/>
          <w:szCs w:val="36"/>
          <w:highlight w:val="none"/>
          <w:lang w:val="en-US" w:eastAsia="zh-CN"/>
        </w:rPr>
        <w:t>南京机电职业技术学院</w:t>
      </w:r>
    </w:p>
    <w:p w14:paraId="631F4418">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b/>
          <w:bCs/>
          <w:color w:val="auto"/>
          <w:sz w:val="36"/>
          <w:szCs w:val="36"/>
          <w:highlight w:val="none"/>
          <w:lang w:val="en-US" w:eastAsia="zh-CN"/>
        </w:rPr>
      </w:pPr>
      <w:r>
        <w:rPr>
          <w:rFonts w:hint="eastAsia" w:asciiTheme="minorEastAsia" w:hAnsiTheme="minorEastAsia"/>
          <w:b/>
          <w:bCs/>
          <w:color w:val="auto"/>
          <w:sz w:val="36"/>
          <w:szCs w:val="36"/>
          <w:highlight w:val="none"/>
          <w:lang w:val="en-US" w:eastAsia="zh-CN"/>
        </w:rPr>
        <w:t>省级标准在线开放课程建设采购需求</w:t>
      </w:r>
    </w:p>
    <w:p w14:paraId="4AC2834E">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一、 项目概况</w:t>
      </w:r>
    </w:p>
    <w:p w14:paraId="6DDB6564">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项目名称：南京机电职业技术学院省级标准在线开放课程建设</w:t>
      </w:r>
    </w:p>
    <w:p w14:paraId="2D73B93D">
      <w:pPr>
        <w:keepNext w:val="0"/>
        <w:keepLines w:val="0"/>
        <w:pageBreakBefore w:val="0"/>
        <w:kinsoku/>
        <w:wordWrap/>
        <w:overflowPunct/>
        <w:topLinePunct w:val="0"/>
        <w:autoSpaceDE/>
        <w:autoSpaceDN/>
        <w:bidi w:val="0"/>
        <w:adjustRightInd/>
        <w:snapToGrid/>
        <w:ind w:firstLine="560" w:firstLineChars="200"/>
        <w:textAlignment w:val="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NJDXJ</w:t>
      </w:r>
      <w:r>
        <w:rPr>
          <w:rFonts w:hint="eastAsia" w:ascii="宋体" w:hAnsi="宋体" w:eastAsia="宋体" w:cs="宋体"/>
          <w:color w:val="auto"/>
          <w:sz w:val="28"/>
          <w:szCs w:val="28"/>
          <w:highlight w:val="none"/>
          <w:u w:val="none"/>
          <w:lang w:val="en-US" w:eastAsia="zh-CN"/>
        </w:rPr>
        <w:t>202</w:t>
      </w:r>
      <w:r>
        <w:rPr>
          <w:rFonts w:hint="eastAsia" w:eastAsia="宋体" w:asciiTheme="minorEastAsia" w:hAnsiTheme="minorEastAsia"/>
          <w:color w:val="auto"/>
          <w:sz w:val="28"/>
          <w:szCs w:val="28"/>
          <w:highlight w:val="none"/>
          <w:lang w:val="en-US" w:eastAsia="zh-CN"/>
        </w:rPr>
        <w:t>510004</w:t>
      </w:r>
    </w:p>
    <w:p w14:paraId="527CC1E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项目预算：</w:t>
      </w:r>
      <w:r>
        <w:rPr>
          <w:rFonts w:hint="eastAsia" w:asciiTheme="minorEastAsia" w:hAnsiTheme="minorEastAsia"/>
          <w:color w:val="auto"/>
          <w:sz w:val="28"/>
          <w:szCs w:val="28"/>
          <w:highlight w:val="none"/>
          <w:lang w:val="en-US" w:eastAsia="zh-CN"/>
        </w:rPr>
        <w:t>人民币90,000元（最高限价）</w:t>
      </w:r>
    </w:p>
    <w:p w14:paraId="785FED4F">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服务期限：202</w:t>
      </w:r>
      <w:r>
        <w:rPr>
          <w:rFonts w:hint="eastAsia" w:asciiTheme="minorEastAsia" w:hAnsiTheme="minorEastAsia"/>
          <w:color w:val="auto"/>
          <w:sz w:val="28"/>
          <w:szCs w:val="28"/>
          <w:highlight w:val="none"/>
          <w:lang w:val="en-US" w:eastAsia="zh-CN"/>
        </w:rPr>
        <w:t>5</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lang w:val="en-US" w:eastAsia="zh-CN"/>
        </w:rPr>
        <w:t>12</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日-</w:t>
      </w:r>
      <w:r>
        <w:rPr>
          <w:rFonts w:hint="eastAsia" w:asciiTheme="minorEastAsia" w:hAnsiTheme="minorEastAsia"/>
          <w:color w:val="auto"/>
          <w:sz w:val="28"/>
          <w:szCs w:val="28"/>
          <w:highlight w:val="none"/>
          <w:lang w:val="en-US" w:eastAsia="zh-CN"/>
        </w:rPr>
        <w:t>-</w:t>
      </w:r>
      <w:r>
        <w:rPr>
          <w:rFonts w:hint="eastAsia" w:asciiTheme="minorEastAsia" w:hAnsiTheme="minorEastAsia"/>
          <w:color w:val="auto"/>
          <w:sz w:val="28"/>
          <w:szCs w:val="28"/>
          <w:highlight w:val="none"/>
        </w:rPr>
        <w:t>202</w:t>
      </w:r>
      <w:r>
        <w:rPr>
          <w:rFonts w:hint="eastAsia" w:asciiTheme="minorEastAsia" w:hAnsiTheme="minorEastAsia"/>
          <w:color w:val="auto"/>
          <w:sz w:val="28"/>
          <w:szCs w:val="28"/>
          <w:highlight w:val="none"/>
          <w:lang w:val="en-US" w:eastAsia="zh-CN"/>
        </w:rPr>
        <w:t>6</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lang w:val="en-US" w:eastAsia="zh-CN"/>
        </w:rPr>
        <w:t>12</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日</w:t>
      </w:r>
    </w:p>
    <w:p w14:paraId="4044BB78">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 xml:space="preserve">二、 服务需求内容 </w:t>
      </w:r>
    </w:p>
    <w:p w14:paraId="2C5D0513">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本项目旨在为“机械设计与制造”江苏省职业教育专业教学资源库，采购并完成《数控系统连接与调试》、《智能制造单元集成应用》两门省级标准在线开放课程的建设内容。建设内容主要包括课程视频拍摄与制作、课程知识图谱建设与应用、以及AI助教协同功能实现，以推动教学模式创新，提升教学质量。建设需求包含：</w:t>
      </w:r>
    </w:p>
    <w:p w14:paraId="0363A6DF">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1.视频数量与时长： 共计完成60个课程视频的拍摄与制作，总时长不少于750分钟。其中，《数控系统连接与调试》课程30个视频，《智能制造单元集成应用》课程30个视频。拟定的课程视频目录如下表所示：</w:t>
      </w:r>
    </w:p>
    <w:tbl>
      <w:tblPr>
        <w:tblStyle w:val="8"/>
        <w:tblW w:w="78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50"/>
        <w:gridCol w:w="748"/>
        <w:gridCol w:w="4892"/>
      </w:tblGrid>
      <w:tr w14:paraId="1F32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09A5F755">
            <w:pPr>
              <w:keepNext w:val="0"/>
              <w:keepLines w:val="0"/>
              <w:widowControl/>
              <w:suppressLineNumbers w:val="0"/>
              <w:jc w:val="center"/>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课程</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FCF3E4F">
            <w:pPr>
              <w:keepNext w:val="0"/>
              <w:keepLines w:val="0"/>
              <w:widowControl/>
              <w:suppressLineNumbers w:val="0"/>
              <w:jc w:val="center"/>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038F6C9E">
            <w:pPr>
              <w:keepNext w:val="0"/>
              <w:keepLines w:val="0"/>
              <w:widowControl/>
              <w:suppressLineNumbers w:val="0"/>
              <w:jc w:val="center"/>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视频内容</w:t>
            </w:r>
          </w:p>
        </w:tc>
      </w:tr>
      <w:tr w14:paraId="7031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48B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《数控系统连接与调试》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5F0C4F9">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3712ABC5">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课程在专业中的地位</w:t>
            </w:r>
          </w:p>
        </w:tc>
      </w:tr>
      <w:tr w14:paraId="695FA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BFFB5">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A89E6CE">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10691FB7">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课程在生产中的环节</w:t>
            </w:r>
          </w:p>
        </w:tc>
      </w:tr>
      <w:tr w14:paraId="49FC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ADCC">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6353C87">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317F90C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数控技术、数控系统、数控装置的概念</w:t>
            </w:r>
          </w:p>
        </w:tc>
      </w:tr>
      <w:tr w14:paraId="1616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907DF">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E83EE6D">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38C39B7B">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数控系统组成</w:t>
            </w:r>
          </w:p>
        </w:tc>
      </w:tr>
      <w:tr w14:paraId="3AD6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4FD19">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D9559AE">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114986B7">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CNC基本单元配置</w:t>
            </w:r>
          </w:p>
        </w:tc>
      </w:tr>
      <w:tr w14:paraId="35FE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1D7F4">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1A60C27">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4DA1495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驱动器和电机配置</w:t>
            </w:r>
          </w:p>
        </w:tc>
      </w:tr>
      <w:tr w14:paraId="7B76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22302">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97C101C">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6515136D">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操作面板配置</w:t>
            </w:r>
          </w:p>
        </w:tc>
      </w:tr>
      <w:tr w14:paraId="7F51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75372">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3D3393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30BA9CDA">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I/O Link网络配置</w:t>
            </w:r>
          </w:p>
        </w:tc>
      </w:tr>
      <w:tr w14:paraId="7616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36A64">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5104ACD">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4E758FC7">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FS 0iF/0iF Plus基本单元A各个接口</w:t>
            </w:r>
          </w:p>
        </w:tc>
      </w:tr>
      <w:tr w14:paraId="4C56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0AD84">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E67EDBC">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20FFACCC">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αi系列标准模块式驱动器各个接口</w:t>
            </w:r>
          </w:p>
        </w:tc>
      </w:tr>
      <w:tr w14:paraId="6531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FF670">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C1091C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4F3024CC">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I/O单元各个接口</w:t>
            </w:r>
          </w:p>
        </w:tc>
      </w:tr>
      <w:tr w14:paraId="5C83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295A">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FAC29CC">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2BE6F78C">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数控机床电气原理图识读</w:t>
            </w:r>
          </w:p>
        </w:tc>
      </w:tr>
      <w:tr w14:paraId="5ABA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164D">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1E3957D">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4DCFF038">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操作面板信号表识读</w:t>
            </w:r>
          </w:p>
        </w:tc>
      </w:tr>
      <w:tr w14:paraId="0EE0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46866">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05BB5EE">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463606F5">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PMC程序结构</w:t>
            </w:r>
          </w:p>
        </w:tc>
      </w:tr>
      <w:tr w14:paraId="710F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5F811">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E741A07">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502957FD">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PMC编程元件与图形符号</w:t>
            </w:r>
          </w:p>
        </w:tc>
      </w:tr>
      <w:tr w14:paraId="4E61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9469">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42E9E02">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71732864">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PMC功能指令</w:t>
            </w:r>
          </w:p>
        </w:tc>
      </w:tr>
      <w:tr w14:paraId="5E41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798A8">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4DA1FE0">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148A1381">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操作面板程序设计要求</w:t>
            </w:r>
          </w:p>
        </w:tc>
      </w:tr>
      <w:tr w14:paraId="06E6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81E73">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2F06EF9">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5E8909F9">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操作面板各项功能对应的G代码</w:t>
            </w:r>
          </w:p>
        </w:tc>
      </w:tr>
      <w:tr w14:paraId="0934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12E9C">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F78B2D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103F118C">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机床工作方式选择程序</w:t>
            </w:r>
          </w:p>
        </w:tc>
      </w:tr>
      <w:tr w14:paraId="3DD9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93AE">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993B843">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4E40FC57">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二进制和十进制</w:t>
            </w:r>
          </w:p>
        </w:tc>
      </w:tr>
      <w:tr w14:paraId="15C2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31FF1">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30C496A">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7055D1D9">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原码、反码和补码</w:t>
            </w:r>
          </w:p>
        </w:tc>
      </w:tr>
      <w:tr w14:paraId="19C1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A797">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6C4221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5EA1B991">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格雷码和二进制</w:t>
            </w:r>
          </w:p>
        </w:tc>
      </w:tr>
      <w:tr w14:paraId="2C39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AE430">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3F8C672">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07754C02">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手动操作及倍率控制程序</w:t>
            </w:r>
          </w:p>
        </w:tc>
      </w:tr>
      <w:tr w14:paraId="5F45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F12D8">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3E3373D">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02BE6B92">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快移功能及倍率控制程序</w:t>
            </w:r>
          </w:p>
        </w:tc>
      </w:tr>
      <w:tr w14:paraId="4189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E8567">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EFFD2D1">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36C90AA5">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手轮操作HND控制程序</w:t>
            </w:r>
          </w:p>
        </w:tc>
      </w:tr>
      <w:tr w14:paraId="4ACC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0004">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3216713">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55E4A62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手动增量INC控制程序</w:t>
            </w:r>
          </w:p>
        </w:tc>
      </w:tr>
      <w:tr w14:paraId="0FAB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42D0">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53E9D2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202092A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主轴正反转控制程序</w:t>
            </w:r>
          </w:p>
        </w:tc>
      </w:tr>
      <w:tr w14:paraId="663CE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A9DC9">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F681218">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5986CA11">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主轴倍率控制程序</w:t>
            </w:r>
          </w:p>
        </w:tc>
      </w:tr>
      <w:tr w14:paraId="7FC3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91C06">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084263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2E3B54A5">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自动运行控制程序</w:t>
            </w:r>
          </w:p>
        </w:tc>
      </w:tr>
      <w:tr w14:paraId="29ED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39ABC">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7E692F3">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700C9685">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急停、存储器保护控制程序</w:t>
            </w:r>
          </w:p>
        </w:tc>
      </w:tr>
      <w:tr w14:paraId="42D0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5F7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《智能制造单元集成应用》</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A95505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060B2BFB">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课程在专业中的地位</w:t>
            </w:r>
          </w:p>
        </w:tc>
      </w:tr>
      <w:tr w14:paraId="0BA27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16F1">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65AAFDB">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08CA3CF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课程在生产中的环节</w:t>
            </w:r>
          </w:p>
        </w:tc>
      </w:tr>
      <w:tr w14:paraId="580F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88287">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956BEEA">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758F534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企业安全生产教育</w:t>
            </w:r>
          </w:p>
        </w:tc>
      </w:tr>
      <w:tr w14:paraId="7869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B356B">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929D63E">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60436AEA">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企业项目实施过程</w:t>
            </w:r>
          </w:p>
        </w:tc>
      </w:tr>
      <w:tr w14:paraId="780A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AEC48">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80F2C9B">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75137DA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企业项目验收标准</w:t>
            </w:r>
          </w:p>
        </w:tc>
      </w:tr>
      <w:tr w14:paraId="278C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DCA5F">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F04A3F9">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55A3E21B">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企业现场管理要求</w:t>
            </w:r>
          </w:p>
        </w:tc>
      </w:tr>
      <w:tr w14:paraId="5937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10412">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1B13763">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42768D8D">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电气原理图的识读</w:t>
            </w:r>
          </w:p>
        </w:tc>
      </w:tr>
      <w:tr w14:paraId="642D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2785C">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9977EB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57CD95D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电器元件的布局、接线、走线</w:t>
            </w:r>
          </w:p>
        </w:tc>
      </w:tr>
      <w:tr w14:paraId="1DB3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4EE1A">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8AF4B55">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063F1983">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PLC的基础编程</w:t>
            </w:r>
          </w:p>
        </w:tc>
      </w:tr>
      <w:tr w14:paraId="07C12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B0589">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F1EA7CA">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6A9614EB">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HMI的基础编程</w:t>
            </w:r>
          </w:p>
        </w:tc>
      </w:tr>
      <w:tr w14:paraId="2E73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7B469">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7F1CCF2">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034C2A0D">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三相交流异步电机的使用（自锁互锁）</w:t>
            </w:r>
          </w:p>
        </w:tc>
      </w:tr>
      <w:tr w14:paraId="732E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0160B">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AC4EA14">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7BCF3163">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三相交流异步电机的使用（调速）</w:t>
            </w:r>
          </w:p>
        </w:tc>
      </w:tr>
      <w:tr w14:paraId="1080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F1234">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B558E23">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668857E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步进电机的使用（速度控制和方向控制）</w:t>
            </w:r>
          </w:p>
        </w:tc>
      </w:tr>
      <w:tr w14:paraId="6149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AA44D">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6000FDA">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42591403">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伺服电机的使用（速度控制和位置控制）</w:t>
            </w:r>
          </w:p>
        </w:tc>
      </w:tr>
      <w:tr w14:paraId="5E70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D0D60">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93D14D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4F55FA15">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气动回路图的识读</w:t>
            </w:r>
          </w:p>
        </w:tc>
      </w:tr>
      <w:tr w14:paraId="3B43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1C5AB">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D645E07">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1BF5C9E3">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气动元件的安装和气路布设</w:t>
            </w:r>
          </w:p>
        </w:tc>
      </w:tr>
      <w:tr w14:paraId="2D07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7E561">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EBA538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56E0E181">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直线气缸的使用</w:t>
            </w:r>
          </w:p>
        </w:tc>
      </w:tr>
      <w:tr w14:paraId="1756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375F5">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A527CA5">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107ABDE0">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旋转气缸的使用</w:t>
            </w:r>
          </w:p>
        </w:tc>
      </w:tr>
      <w:tr w14:paraId="040B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51B75">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BD573A1">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53B5A341">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光电传感器的使用</w:t>
            </w:r>
          </w:p>
        </w:tc>
      </w:tr>
      <w:tr w14:paraId="4DFE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BE65E">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DAFEA79">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2C10DF7E">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电磁传感器的使用</w:t>
            </w:r>
          </w:p>
        </w:tc>
      </w:tr>
      <w:tr w14:paraId="72E4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5A35A">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0AE3C9C">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3A6F9544">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电感传感器的使用</w:t>
            </w:r>
          </w:p>
        </w:tc>
      </w:tr>
      <w:tr w14:paraId="6331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3A2CA">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E0EBE6B">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3F61DEF0">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压力传感器的使用</w:t>
            </w:r>
          </w:p>
        </w:tc>
      </w:tr>
      <w:tr w14:paraId="14F1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D1C23">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922B245">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23C9E305">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位移传感器的使用</w:t>
            </w:r>
          </w:p>
        </w:tc>
      </w:tr>
      <w:tr w14:paraId="396F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2C3E">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4D176EA">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068ED828">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温度传感器的使用</w:t>
            </w:r>
          </w:p>
        </w:tc>
      </w:tr>
      <w:tr w14:paraId="463F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149AE">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292D79C">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3791EBA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工业机器人的基础编程</w:t>
            </w:r>
          </w:p>
        </w:tc>
      </w:tr>
      <w:tr w14:paraId="16CB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750E">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716A610">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64460012">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工业机器人的应用</w:t>
            </w:r>
          </w:p>
        </w:tc>
      </w:tr>
      <w:tr w14:paraId="5B2A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52A80">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D55A1D0">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2CA2B642">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机器视觉的基础编程</w:t>
            </w:r>
          </w:p>
        </w:tc>
      </w:tr>
      <w:tr w14:paraId="4B24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C34CE">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1A4CB73">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5F19CF9A">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机器视觉的应用</w:t>
            </w:r>
          </w:p>
        </w:tc>
      </w:tr>
      <w:tr w14:paraId="0CC5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F0117">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26D87E1">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1DDB7F3A">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信息化设备的使用</w:t>
            </w:r>
          </w:p>
        </w:tc>
      </w:tr>
      <w:tr w14:paraId="00C9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CE25F">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94D162C">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top"/>
          </w:tcPr>
          <w:p w14:paraId="0727436D">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智能制造单元的调试过程和调试方法</w:t>
            </w:r>
          </w:p>
        </w:tc>
      </w:tr>
    </w:tbl>
    <w:p w14:paraId="6F0C955C">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bookmarkStart w:id="0" w:name="_Toc23839"/>
      <w:bookmarkStart w:id="1" w:name="_Hlk492714916"/>
      <w:r>
        <w:rPr>
          <w:rFonts w:hint="eastAsia" w:asciiTheme="minorEastAsia" w:hAnsiTheme="minorEastAsia"/>
          <w:b/>
          <w:bCs/>
          <w:color w:val="auto"/>
          <w:sz w:val="28"/>
          <w:szCs w:val="28"/>
          <w:highlight w:val="none"/>
        </w:rPr>
        <w:t>1.</w:t>
      </w:r>
      <w:r>
        <w:rPr>
          <w:rFonts w:hint="eastAsia" w:asciiTheme="minorEastAsia" w:hAnsiTheme="minorEastAsia"/>
          <w:b/>
          <w:bCs/>
          <w:color w:val="auto"/>
          <w:sz w:val="28"/>
          <w:szCs w:val="28"/>
          <w:highlight w:val="none"/>
          <w:lang w:val="en-US" w:eastAsia="zh-CN"/>
        </w:rPr>
        <w:t>1</w:t>
      </w:r>
      <w:r>
        <w:rPr>
          <w:rFonts w:hint="eastAsia" w:asciiTheme="minorEastAsia" w:hAnsiTheme="minorEastAsia"/>
          <w:b/>
          <w:bCs/>
          <w:color w:val="auto"/>
          <w:sz w:val="28"/>
          <w:szCs w:val="28"/>
          <w:highlight w:val="none"/>
        </w:rPr>
        <w:t>课程微课视频开发</w:t>
      </w:r>
      <w:bookmarkEnd w:id="0"/>
    </w:p>
    <w:bookmarkEnd w:id="1"/>
    <w:p w14:paraId="60275B94">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bookmarkStart w:id="2" w:name="_Toc10826"/>
      <w:r>
        <w:rPr>
          <w:rFonts w:hint="eastAsia" w:asciiTheme="minorEastAsia" w:hAnsiTheme="minorEastAsia"/>
          <w:color w:val="auto"/>
          <w:sz w:val="28"/>
          <w:szCs w:val="28"/>
          <w:highlight w:val="none"/>
        </w:rPr>
        <w:t>课程设计应基于混合式教学理论，每个微课视频时长控制在5～15分钟。视频呈现形式应多样化，可结合动画、情景剧、实操演示等手段，将理论、实践、人文教育与趣味知识有机融合。</w:t>
      </w:r>
    </w:p>
    <w:p w14:paraId="54A94D5E">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val="en-US" w:eastAsia="zh-CN"/>
        </w:rPr>
        <w:t>1.</w:t>
      </w:r>
      <w:r>
        <w:rPr>
          <w:rFonts w:hint="eastAsia" w:asciiTheme="minorEastAsia" w:hAnsiTheme="minorEastAsia"/>
          <w:b/>
          <w:bCs/>
          <w:color w:val="auto"/>
          <w:sz w:val="28"/>
          <w:szCs w:val="28"/>
          <w:highlight w:val="none"/>
        </w:rPr>
        <w:t>2课程视频制作</w:t>
      </w:r>
      <w:bookmarkEnd w:id="2"/>
    </w:p>
    <w:p w14:paraId="6BD899A2">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val="0"/>
          <w:bCs w:val="0"/>
          <w:color w:val="auto"/>
          <w:sz w:val="28"/>
          <w:szCs w:val="28"/>
          <w:highlight w:val="none"/>
        </w:rPr>
      </w:pPr>
      <w:r>
        <w:rPr>
          <w:rFonts w:hint="eastAsia" w:asciiTheme="minorEastAsia" w:hAnsiTheme="minorEastAsia"/>
          <w:b/>
          <w:bCs/>
          <w:color w:val="auto"/>
          <w:sz w:val="28"/>
          <w:szCs w:val="28"/>
          <w:highlight w:val="none"/>
        </w:rPr>
        <w:t>课程设计：</w:t>
      </w:r>
      <w:r>
        <w:rPr>
          <w:rFonts w:hint="eastAsia" w:asciiTheme="minorEastAsia" w:hAnsiTheme="minorEastAsia"/>
          <w:b w:val="0"/>
          <w:bCs w:val="0"/>
          <w:color w:val="auto"/>
          <w:sz w:val="28"/>
          <w:szCs w:val="28"/>
          <w:highlight w:val="none"/>
        </w:rPr>
        <w:t>供应商需提供课程顾问（编导）与我校教师共同确定拍摄脚本、场地、服装及效果策划。</w:t>
      </w:r>
    </w:p>
    <w:p w14:paraId="0E3282FC">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课程宣传片：</w:t>
      </w:r>
      <w:r>
        <w:rPr>
          <w:rFonts w:hint="eastAsia" w:asciiTheme="minorEastAsia" w:hAnsiTheme="minorEastAsia"/>
          <w:b w:val="0"/>
          <w:bCs w:val="0"/>
          <w:color w:val="auto"/>
          <w:sz w:val="28"/>
          <w:szCs w:val="28"/>
          <w:highlight w:val="none"/>
        </w:rPr>
        <w:t>为每门课程制作不超过3分钟的介绍宣传片，要求生动直观、充分反映课程概况。</w:t>
      </w:r>
    </w:p>
    <w:p w14:paraId="1DB58223">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拍摄与录制：</w:t>
      </w:r>
    </w:p>
    <w:p w14:paraId="2D46423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根据视频内容类型（如理论讲解、实操演示）灵活配置拍摄机位，确保画面清晰、构图合理。对于关键操作及教师讲解，应使用专业级高清设备进行拍摄，分辨率不低于1920×1080，帧率不低于25帧/秒。</w:t>
      </w:r>
    </w:p>
    <w:p w14:paraId="1D3CED6D">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需保证录音质量，使用专业话筒，确保教师语音清晰、无杂音。</w:t>
      </w:r>
    </w:p>
    <w:p w14:paraId="2872F9E3">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提供简单的教师形象指导与化妆服务，确保教师精神面貌良好。</w:t>
      </w:r>
    </w:p>
    <w:p w14:paraId="65852266">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后期制作与交付：</w:t>
      </w:r>
    </w:p>
    <w:p w14:paraId="77378A3D">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使用专业非线性编辑系统进行剪辑、调色、音视频降噪、片头片尾制作。</w:t>
      </w:r>
    </w:p>
    <w:p w14:paraId="7996E374">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片头应包含学校LOGO、课程名称、讲次、主讲教师信息，时长不超过10秒。</w:t>
      </w:r>
    </w:p>
    <w:p w14:paraId="51C5C08F">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每门课程最终须交付两版视频：一版为用于存档的MPG高清格式，一版为适用于网络传播的MP4格式。技术参数需满足原文件中“1.2.4技术指标”的基本要求（如H.264编码、双声道等）。</w:t>
      </w:r>
    </w:p>
    <w:p w14:paraId="10623455">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须提供独立的SRT格式字幕文件，确保准确无误。</w:t>
      </w:r>
    </w:p>
    <w:p w14:paraId="4C680CE6">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bookmarkStart w:id="3" w:name="_Toc31867"/>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2.1课程设计咨询与拍摄准备</w:t>
      </w:r>
      <w:bookmarkEnd w:id="3"/>
    </w:p>
    <w:p w14:paraId="3CEAC79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2.1.1按照在线课程章节微课或知识图谱知识点微课为单位组织进行教学设计，知识点的呈现应考虑在线学习特点。</w:t>
      </w:r>
    </w:p>
    <w:p w14:paraId="0B1CC939">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2.1.2课程顾问（编导）与课程教师确定拍摄章节和微课内容，根据课程内容策划制作效果，选择场地、布置现场、服装搭配，协调拍摄注意事项等问题。</w:t>
      </w:r>
    </w:p>
    <w:p w14:paraId="4B44250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2.1.3制作方负责列出课程顾问（编导）与课程教师按课程章节确定的内容，收集材料如：PPT、视频、文档、老师资料以及一些辅助课程的拓展资料。</w:t>
      </w:r>
    </w:p>
    <w:p w14:paraId="2226B21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2.1.4课程介绍宣传片要求：不超过3分钟的课程介绍，要求能够较充分反映课程的主要内容概况，集形、声、色、动态于一体，生动直观、易于接受、感染力强、形式新颖、生动有趣、富有新意。</w:t>
      </w:r>
    </w:p>
    <w:p w14:paraId="38058D88">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2.1.5指导老师塑造理性严谨、情绪感染、自然朴素、风趣幽默等类型的教学风格。</w:t>
      </w:r>
    </w:p>
    <w:p w14:paraId="11F1C338">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2.1.6为教师提供教师形象、教学动作、教学语言等咨询与建议。</w:t>
      </w:r>
    </w:p>
    <w:p w14:paraId="07E28B4E">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bookmarkStart w:id="4" w:name="_Toc27369"/>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2.2课程拍摄要求</w:t>
      </w:r>
      <w:bookmarkEnd w:id="4"/>
    </w:p>
    <w:p w14:paraId="75DCCD41">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2.2.1按设计完成课程微课视频录制，录像环境光线充足、安静，教师衣着得体，拍摄前需简单化妆，保持最佳精神状态。</w:t>
      </w:r>
    </w:p>
    <w:p w14:paraId="2A162C45">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2.2.2录制人员具备丰富专业拍摄经验。</w:t>
      </w:r>
    </w:p>
    <w:p w14:paraId="273F1167">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2.2.3录制设备</w:t>
      </w:r>
    </w:p>
    <w:p w14:paraId="61E17DB3">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1）录像设备：使用至少两台以上专业级高清数字设备，保证设备能正常完成拍摄任务。摄像机拍摄时所采用分辨率为4096×2160，录制视频宽高比16:9，视频帧率为25帧/秒。拍摄设备要同型同款，保证录制效果的一致性。</w:t>
      </w:r>
    </w:p>
    <w:p w14:paraId="25005F09">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主机位用于拍摄教师全景，辅助机位拍摄教师特写、板书以及多媒体信息。</w:t>
      </w:r>
    </w:p>
    <w:p w14:paraId="51369717">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（2）录音设备要求使用若干个专业级话筒，保证录音质量。</w:t>
      </w:r>
    </w:p>
    <w:p w14:paraId="138CBD2E">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（3）保证拍摄现场的音响效果及灯光效果达到</w:t>
      </w:r>
      <w:r>
        <w:rPr>
          <w:rFonts w:hint="eastAsia" w:asciiTheme="minorEastAsia" w:hAnsiTheme="minorEastAsia"/>
          <w:color w:val="auto"/>
          <w:sz w:val="28"/>
          <w:szCs w:val="28"/>
          <w:highlight w:val="none"/>
          <w:lang w:val="zh-CN"/>
        </w:rPr>
        <w:t>在线开放课程制作要求。</w:t>
      </w:r>
    </w:p>
    <w:p w14:paraId="1518995F">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（4）监听设备：监听耳机2副。</w:t>
      </w:r>
    </w:p>
    <w:p w14:paraId="6500004E">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（5）后期制作设备：使用非线性编辑系统。</w:t>
      </w:r>
    </w:p>
    <w:p w14:paraId="1BA7E460">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2.2.4成片交付采用两版视频形式。一版MPG高清视频，一版MP4网络使用视频。</w:t>
      </w:r>
    </w:p>
    <w:p w14:paraId="72F003F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bookmarkStart w:id="5" w:name="_Toc3409"/>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2.3后期制作</w:t>
      </w:r>
      <w:bookmarkEnd w:id="5"/>
    </w:p>
    <w:p w14:paraId="3B69A5AE">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2.3.1使用专业的非线性编辑系统对源视频进行处理（如抠像、颜色校正、双声道处理）。使用专业的视频编辑系统进行视频降噪、音频降噪。根据课程顾问脚本进行编辑片花和引文中的背景板、特定的背景音乐、音乐场景特效、引文字体、字体颜色、构图排版、转场特效、基本剪辑、音视频调整与衔接工作。</w:t>
      </w:r>
    </w:p>
    <w:p w14:paraId="18569FB6">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2.3.2按照拍摄方案，不同的拍摄方式采用不同的制作方式。（如PPT模式需分章节剪辑，基地访谈模式按照老师讲解的内容变换机位，真人动画模式设计平面以及动画，完全动画模式按照详细的制作脚本完成动画设计制作等。）</w:t>
      </w:r>
    </w:p>
    <w:p w14:paraId="3BA1A21E">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2.3.3片头：使用专业的后期合成软件进行片头设计，使用平面设计+后期合成+3D渲染，根据每个课题的内容设计出相关联的内容元素，片头不超过10秒，包含学校LOGO、课程名称、讲次、主讲教师姓名、专业技术职务等信息。</w:t>
      </w:r>
    </w:p>
    <w:p w14:paraId="7A0F861B">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2.3.4课程内容剪辑：技术工程师通篇观看视频，按照章节框架，以及现场场记情况，分章节剪辑老师状态不佳、口误、出镜、停顿等片段。实操部分添加必要的背景音乐，保证制作的片花无错误、无硬伤，画面美观，排版规范、逻辑完整。</w:t>
      </w:r>
    </w:p>
    <w:p w14:paraId="12C381F4">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2.3.5使用专业的后期合成软件制作片尾：根据版权所有情况，制定相关的片尾名单，包括版权单位、制作单位、录制时间等信息。</w:t>
      </w:r>
    </w:p>
    <w:p w14:paraId="617952E7">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2.3.6使用专业非线性编辑系统渲染成片：所有内容编辑结束之后，生成成片，成品为一版高清制式，一版网络流畅制式。</w:t>
      </w:r>
    </w:p>
    <w:p w14:paraId="3780FFEE">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2.3.7平面设计软件：PhotoshopCS5及以上版本，CorelDRAW，IllustratorCS5及以上版本；二维动画制作软件：Flash及其他主流动画制作软件；三维动画制作软件：3dMax，Maya；字幕制作软件：TIMEM时间机器，SRT字幕制作助手。</w:t>
      </w:r>
    </w:p>
    <w:p w14:paraId="16342CBD">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bookmarkStart w:id="6" w:name="_Toc18164"/>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2.4技术指标</w:t>
      </w:r>
      <w:bookmarkEnd w:id="6"/>
    </w:p>
    <w:p w14:paraId="1A49F5E7">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2.4.1.视频信号源</w:t>
      </w:r>
    </w:p>
    <w:p w14:paraId="1EE7C0BE">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2.4.1.1稳定性：全片图像同步性能稳定，无失帧现象，CTL同步控制信号必须连续；图像无抖动跳跃，色彩无突变，编辑点处图像稳定。</w:t>
      </w:r>
    </w:p>
    <w:p w14:paraId="2E01EB9B">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2.4.1.2信噪比：图像信噪比不低于55dB，无明显杂波。</w:t>
      </w:r>
    </w:p>
    <w:p w14:paraId="533C763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2.4.1.3色调：白平衡正确，无明显偏色，多机拍摄的镜头衔接处无明显色差。</w:t>
      </w:r>
    </w:p>
    <w:p w14:paraId="26BC3670">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2.4.1.4视频电平：视频全讯号幅度为1.0Ⅴp-p，最大不超过1.1Ⅴp-p。其中，消隐电平为0V时，白电平幅度0.7Ⅴp-p，同步信号-0.3V，色同步信号幅度0.3Vp-p（以消隐线上下对称），全片一致。</w:t>
      </w:r>
    </w:p>
    <w:p w14:paraId="37DB171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2.4.2音频信号源</w:t>
      </w:r>
    </w:p>
    <w:p w14:paraId="69C0C42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2.4.2.1声道：中文内容音频信号记录于第1声道，音乐、音效、同期声记录于第2声道，若有其他文字解说记录于第3声道（如录音设备无第3声道，则录于第2声道）。</w:t>
      </w:r>
    </w:p>
    <w:p w14:paraId="2C13CA92">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2.4.2.2电平指标：-2db—-8db声音应无明显失真、放音过冲、过弱。</w:t>
      </w:r>
    </w:p>
    <w:p w14:paraId="65980D68">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2.4.2.3音频信噪比不低于48db。</w:t>
      </w:r>
    </w:p>
    <w:p w14:paraId="2C9711A9">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2.4.2.4声音和画面要求同步，无交流声或其他杂音等缺陷。</w:t>
      </w:r>
    </w:p>
    <w:p w14:paraId="04297D12">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2.4.2.5伴音清晰、饱满、圆润，无失真、噪声杂音干扰、音量忽大忽小现象。解说声与现场声无明显比例失调，解说声与背景音乐无明显比例失调。</w:t>
      </w:r>
    </w:p>
    <w:p w14:paraId="5B476E0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2.4.3.视、音频交付文件</w:t>
      </w:r>
    </w:p>
    <w:p w14:paraId="66F405EB">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2.4.3.1交付载体。所有视频文件以拷贝形式交付学校，并在文件上标记学校名称、课程名称、讲次及标题、主讲教师、时长等。公司应保留全部母带级别文件，至少一年。</w:t>
      </w:r>
    </w:p>
    <w:p w14:paraId="7470D28D">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2.4.3.2视频压缩格式及技术参数：</w:t>
      </w:r>
    </w:p>
    <w:p w14:paraId="52D35BC0">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2.4.3.2.1视频压缩采用H.264(MPEG-4Part10：profile=main,level=3.0)编码、使用二次编码、不包含字幕的MP4格式。</w:t>
      </w:r>
    </w:p>
    <w:p w14:paraId="6CBB6222">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2.4.3.2.2视频码流率：码流率5000kbps以上。</w:t>
      </w:r>
    </w:p>
    <w:p w14:paraId="31ADDB54">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2.4.3.2.3视频分辨率：前期采用高清16:9拍摄。在同一课程中，各讲的视频分辨率统一，不得混用。</w:t>
      </w:r>
    </w:p>
    <w:p w14:paraId="45F7E028">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2.4.3.2.4视频画幅宽高比：分辨率设定为1920×1080，录制视频宽高比为16:9。在同一课程中，各讲画幅的宽高比统一，不得混用。</w:t>
      </w:r>
    </w:p>
    <w:p w14:paraId="10CEC5D1">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2.4.3.2.5视频帧率为25帧/秒。</w:t>
      </w:r>
    </w:p>
    <w:p w14:paraId="4F470C96">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2.4.3.2.6扫描方式采用逐行扫描。</w:t>
      </w:r>
    </w:p>
    <w:p w14:paraId="1F6BF032">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2.4.3.2.7音频压缩格式及技术参数：音频压缩采用AAC（MPEG4Part3）格式，采样率48KHz，音频码流率256Kbps（恒定），必须是双声道，必须做混音处理。</w:t>
      </w:r>
    </w:p>
    <w:p w14:paraId="397E8A09">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2.4.4.字幕文件</w:t>
      </w:r>
    </w:p>
    <w:p w14:paraId="7A8C8F52">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2.4.4.1字幕文件格式：独立的SRT格式的字幕文件。</w:t>
      </w:r>
    </w:p>
    <w:p w14:paraId="57B5ABE9">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2.4.4.2字幕的行数要求：每屏只有一行字幕。</w:t>
      </w:r>
    </w:p>
    <w:p w14:paraId="3E8F84A2">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2.4.4.3字幕的字数要求：每行不超过14个字。</w:t>
      </w:r>
    </w:p>
    <w:p w14:paraId="2B036B7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2.4.4.4字幕的位置：保持每屏字幕出现位置一致。</w:t>
      </w:r>
    </w:p>
    <w:p w14:paraId="53D760BB">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2.4.4.5字幕中的数学公式、化学分子式、物理量和单位，尽量以文本文字呈现。</w:t>
      </w:r>
    </w:p>
    <w:p w14:paraId="7D61AA3F">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2.4.4.6字幕的字体：颜色、字体、字号简洁大方，不喧宾夺主；遇到字体主色与背景相近时，字幕需要描边。字幕要使用符合国家标准的规范字，不出现繁体字、异体字（国家规定的除外）、错别字；字幕的字体、大小、色彩搭配、摆放位置、停留时间、出入屏方式力求与其他要素（画面、解说词、音乐）配合适当，不能破坏原有画面。</w:t>
      </w:r>
    </w:p>
    <w:p w14:paraId="34BD7611">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bookmarkStart w:id="7" w:name="_Toc14763"/>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2.5制作规范及要求</w:t>
      </w:r>
      <w:bookmarkEnd w:id="7"/>
    </w:p>
    <w:p w14:paraId="2F6DA276">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2.5.1使用专业的非线性编辑（1920*50M/S）系统对源视频进行基础处理（如剪辑、抠像、颜色校正、双声道处理）。</w:t>
      </w:r>
    </w:p>
    <w:p w14:paraId="7802C94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2.5.2声音和画面要求同步，无交流声或其他杂音等缺陷，无明显失真、放音过冲、过弱。伴音清晰、饱满、圆润，无失真、噪声杂音干扰、音量忽大忽小现象。解说声与现场声、背景音乐无明显比例失调。音频信噪比不低于48dB。</w:t>
      </w:r>
    </w:p>
    <w:p w14:paraId="677309E4">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2.5.3后期特效保证画面美观、色彩真实，符合摄影构图规则。老师视频必须具备人物特写、知识点特效展示、人物中景等场景。场景切换自然流畅，色彩无突变，画面无晃动、抖动、模糊聚焦和镜头频繁拉伸等。</w:t>
      </w:r>
    </w:p>
    <w:p w14:paraId="73A95F07">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2.知识图谱建设：</w:t>
      </w:r>
    </w:p>
    <w:p w14:paraId="2856D66B">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color w:val="auto"/>
          <w:sz w:val="28"/>
          <w:szCs w:val="28"/>
          <w:highlight w:val="none"/>
        </w:rPr>
      </w:pPr>
      <w:r>
        <w:rPr>
          <w:rFonts w:hint="eastAsia" w:asciiTheme="minorEastAsia" w:hAnsiTheme="minorEastAsia"/>
          <w:b/>
          <w:bCs/>
          <w:color w:val="auto"/>
          <w:sz w:val="28"/>
          <w:szCs w:val="28"/>
          <w:highlight w:val="none"/>
          <w:lang w:val="en-US" w:eastAsia="zh-CN"/>
        </w:rPr>
        <w:t>1）</w:t>
      </w:r>
      <w:r>
        <w:rPr>
          <w:rFonts w:hint="eastAsia" w:asciiTheme="minorEastAsia" w:hAnsiTheme="minorEastAsia"/>
          <w:b/>
          <w:bCs/>
          <w:color w:val="auto"/>
          <w:sz w:val="28"/>
          <w:szCs w:val="28"/>
          <w:highlight w:val="none"/>
        </w:rPr>
        <w:t>建设核心要求：</w:t>
      </w:r>
      <w:r>
        <w:rPr>
          <w:rFonts w:hint="eastAsia" w:asciiTheme="minorEastAsia" w:hAnsiTheme="minorEastAsia"/>
          <w:color w:val="auto"/>
          <w:sz w:val="28"/>
          <w:szCs w:val="28"/>
          <w:highlight w:val="none"/>
        </w:rPr>
        <w:t xml:space="preserve"> 以知识点为核心，结构化重组课程资源，构建课程知识图谱。应注重知识的连贯性、系统性，并融入行业最新实践。</w:t>
      </w:r>
    </w:p>
    <w:p w14:paraId="69CC5FFE">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val="en-US" w:eastAsia="zh-CN"/>
        </w:rPr>
        <w:t>2）</w:t>
      </w:r>
      <w:r>
        <w:rPr>
          <w:rFonts w:hint="eastAsia" w:asciiTheme="minorEastAsia" w:hAnsiTheme="minorEastAsia"/>
          <w:b/>
          <w:bCs/>
          <w:color w:val="auto"/>
          <w:sz w:val="28"/>
          <w:szCs w:val="28"/>
          <w:highlight w:val="none"/>
        </w:rPr>
        <w:t>功能需求分级：</w:t>
      </w:r>
    </w:p>
    <w:p w14:paraId="6CCC5617">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【核心功能】必须实现：</w:t>
      </w:r>
    </w:p>
    <w:p w14:paraId="40612370">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支持知识点多层级架构的建立与编辑（父子级、关联关系）。</w:t>
      </w:r>
    </w:p>
    <w:p w14:paraId="39FB59C6">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olor w:val="auto"/>
          <w:sz w:val="28"/>
          <w:szCs w:val="28"/>
          <w:highlight w:val="none"/>
          <w:lang w:eastAsia="zh-CN"/>
        </w:rPr>
      </w:pPr>
      <w:r>
        <w:rPr>
          <w:rFonts w:hint="eastAsia" w:asciiTheme="minorEastAsia" w:hAnsiTheme="minorEastAsia"/>
          <w:color w:val="auto"/>
          <w:sz w:val="28"/>
          <w:szCs w:val="28"/>
          <w:highlight w:val="none"/>
        </w:rPr>
        <w:t>支持通过手动添加、批量导入（如Excel模板）方式构建图谱。</w:t>
      </w:r>
    </w:p>
    <w:p w14:paraId="13059D06">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支持知识点与课程视频、文档、习题等资源的关联。</w:t>
      </w:r>
    </w:p>
    <w:p w14:paraId="70784BE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支持教师与学生按知识点查看学习进度与掌握情况。</w:t>
      </w:r>
    </w:p>
    <w:p w14:paraId="6435EC7D">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支持基于知识点的学情统计与分析（如班级平均完成率、掌握率）。</w:t>
      </w:r>
    </w:p>
    <w:p w14:paraId="1CCA6EEF">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支持在Web端以2D/3D等形式可视化展示知识图谱。</w:t>
      </w:r>
    </w:p>
    <w:p w14:paraId="66C6B111">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【辅助功能】鼓励实现：</w:t>
      </w:r>
    </w:p>
    <w:p w14:paraId="63BD965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智能导入课程大纲或PPT自动生成知识图谱雏形。</w:t>
      </w:r>
    </w:p>
    <w:p w14:paraId="7CB522C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AI生成知识点说明。</w:t>
      </w:r>
    </w:p>
    <w:p w14:paraId="0BC898C9">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跨课程知识点关联。</w:t>
      </w:r>
    </w:p>
    <w:p w14:paraId="610AB54F">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问题图谱、思政图谱、目标图谱等拓展应用。</w:t>
      </w:r>
    </w:p>
    <w:p w14:paraId="3138BB7E">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移动端知识图谱的访问与学习。</w:t>
      </w:r>
    </w:p>
    <w:p w14:paraId="7138CFD9">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color w:val="auto"/>
          <w:sz w:val="28"/>
          <w:szCs w:val="28"/>
          <w:highlight w:val="none"/>
        </w:rPr>
      </w:pPr>
      <w:r>
        <w:rPr>
          <w:rFonts w:hint="eastAsia" w:asciiTheme="minorEastAsia" w:hAnsiTheme="minorEastAsia"/>
          <w:b/>
          <w:bCs/>
          <w:color w:val="auto"/>
          <w:sz w:val="28"/>
          <w:szCs w:val="28"/>
          <w:highlight w:val="none"/>
          <w:lang w:val="en-US" w:eastAsia="zh-CN"/>
        </w:rPr>
        <w:t>3）</w:t>
      </w:r>
      <w:r>
        <w:rPr>
          <w:rFonts w:hint="eastAsia" w:asciiTheme="minorEastAsia" w:hAnsiTheme="minorEastAsia"/>
          <w:b/>
          <w:bCs/>
          <w:color w:val="auto"/>
          <w:sz w:val="28"/>
          <w:szCs w:val="28"/>
          <w:highlight w:val="none"/>
        </w:rPr>
        <w:t>验收标准：</w:t>
      </w:r>
      <w:r>
        <w:rPr>
          <w:rFonts w:hint="eastAsia" w:asciiTheme="minorEastAsia" w:hAnsiTheme="minorEastAsia"/>
          <w:color w:val="auto"/>
          <w:sz w:val="28"/>
          <w:szCs w:val="28"/>
          <w:highlight w:val="none"/>
        </w:rPr>
        <w:t>供应商需演示核心功能的完整流程，并提供至少一个课程章节的完整知识图谱应用案例。</w:t>
      </w:r>
    </w:p>
    <w:p w14:paraId="766C4677">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知识图谱的具体功能如下表所示：</w:t>
      </w:r>
    </w:p>
    <w:tbl>
      <w:tblPr>
        <w:tblStyle w:val="8"/>
        <w:tblW w:w="852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40"/>
        <w:gridCol w:w="5682"/>
      </w:tblGrid>
      <w:tr w14:paraId="0310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5F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模块</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AF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功能描述</w:t>
            </w:r>
          </w:p>
        </w:tc>
      </w:tr>
      <w:tr w14:paraId="1702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1D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知识图谱构建与管理</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2C7D">
            <w:pPr>
              <w:keepNext w:val="0"/>
              <w:keepLines w:val="0"/>
              <w:widowControl/>
              <w:suppressLineNumbers w:val="0"/>
              <w:snapToGrid w:val="0"/>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支持知识点多层级架构建立，生成同级知识点、子级知识点、关联知识点等相关关系。可通过手动添加、批量导入等方式构建知识图谱。</w:t>
            </w:r>
          </w:p>
        </w:tc>
      </w:tr>
      <w:tr w14:paraId="669E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30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知识图谱应用</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04CD">
            <w:pPr>
              <w:keepNext w:val="0"/>
              <w:keepLines w:val="0"/>
              <w:widowControl/>
              <w:suppressLineNumbers w:val="0"/>
              <w:snapToGrid w:val="0"/>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支持教师利用知识图谱把学科知识点，与教材、讲义、习题等关联，根据老师的教学进度，教材版本，持续推送符合教学需求的备课资源，搭配搜索快速准确得到老师所需的资源，提升备课效率和质量。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学生查看课程知识图谱，并查看每个知识点的学习进度情况；支持学生按知识点进行课程任务学习，观看课程视频，阅读课程资料等；支持学生提交作业、考试，查看自己作答作业、考试题目的知识点掌握情况，并查看知识点推荐资源，巩固学习。</w:t>
            </w:r>
          </w:p>
        </w:tc>
      </w:tr>
      <w:tr w14:paraId="2A37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85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知识图谱统计与分析</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519A">
            <w:pPr>
              <w:keepNext w:val="0"/>
              <w:keepLines w:val="0"/>
              <w:widowControl/>
              <w:suppressLineNumbers w:val="0"/>
              <w:snapToGrid w:val="0"/>
              <w:ind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教师查看班级整体知识点分析统计，查看知识点平均完成率、平均掌握率、完成率分布和掌握率分布等；支持按知识点查看每个知识点的关联学习资源数、平均完成率、平均掌握率、课程资料数、课程资料人均阅读情况等；支持查看单个知识点的班级统计分析详情和推荐资源，包括此知识点的平均完成率、最高掌握率、最低掌握率、平均掌握率、每个学生的此知识点完成情况和掌握情况、此知识点的每个教学任务的平均完成情况、掌握情况，以及查看此知识点的课程资源和系统推荐的拓展资源，支持教师添加拓展资源到课程，方便教师共享给学生阅读观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学生查看本人的知识点统计分析，包括每个知识点的完成情况、掌握情况、课程资料阅读情况等；支持学生查看自己单个知识点的统计分析详情和推荐资源，包括此知识点的完成情况、掌握情况、知识点关联的学习任务完成详情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支持单位管理员查看课程图谱建设情况，其中包括知识点的数量以及单位已开通的知识图谱情况统计。这一功能能够为管理员提供全面的课程图谱概览，帮助他们监控和评估知识点的覆盖情况，进而指导课程图谱的建设和优化。</w:t>
            </w:r>
          </w:p>
        </w:tc>
      </w:tr>
      <w:tr w14:paraId="4A9A9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C2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智能路径规划</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CFD1">
            <w:pPr>
              <w:keepNext w:val="0"/>
              <w:keepLines w:val="0"/>
              <w:widowControl/>
              <w:suppressLineNumbers w:val="0"/>
              <w:snapToGrid w:val="0"/>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利用布鲁姆的教学认知模型以帮助教师更有效地设计和实施课程和教学活动。布鲁姆的教学认知模型是一种基于认知心理学的教学方法，它将学习过程分解为不同的认知层次，包括记忆、理解、应用、分析、综合和评价。这个模型可以帮助教师了解学生的学习进程，并在不同的认知层次上为学生设计相应的教学任务和评价方式，从而完成基于布鲁姆·教学认知模型，结合学生学习情况及底层的算法，给学生推荐个性化学习路径。</w:t>
            </w:r>
          </w:p>
        </w:tc>
      </w:tr>
      <w:tr w14:paraId="667F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3D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知识点资源推荐</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9EC5">
            <w:pPr>
              <w:keepNext w:val="0"/>
              <w:keepLines w:val="0"/>
              <w:widowControl/>
              <w:suppressLineNumbers w:val="0"/>
              <w:snapToGrid w:val="0"/>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可按照知识点系统智能推荐拓展资源给学生学习，基于图谱的推荐，融合基于内容和协同过滤等多种推荐技术，让推荐更精准。</w:t>
            </w:r>
          </w:p>
        </w:tc>
      </w:tr>
      <w:tr w14:paraId="263E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60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思政知识图谱</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B0D3">
            <w:pPr>
              <w:keepNext w:val="0"/>
              <w:keepLines w:val="0"/>
              <w:widowControl/>
              <w:suppressLineNumbers w:val="0"/>
              <w:snapToGrid w:val="0"/>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支持自动根据现有的图谱信息生成思政图谱的功能。通过这项功能，系统能够利用现有的图谱信息，自动化地构建和更新思政图谱。</w:t>
            </w:r>
          </w:p>
        </w:tc>
      </w:tr>
      <w:tr w14:paraId="3E1B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E6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问题图谱</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1D2F">
            <w:pPr>
              <w:keepNext w:val="0"/>
              <w:keepLines w:val="0"/>
              <w:widowControl/>
              <w:suppressLineNumbers w:val="0"/>
              <w:snapToGrid w:val="0"/>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支持问题图谱模块设置。将知识与实际问题串联，在问题场景中学习。</w:t>
            </w:r>
          </w:p>
        </w:tc>
      </w:tr>
      <w:tr w14:paraId="3D98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DC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目标图谱</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39CE">
            <w:pPr>
              <w:keepNext w:val="0"/>
              <w:keepLines w:val="0"/>
              <w:widowControl/>
              <w:suppressLineNumbers w:val="0"/>
              <w:snapToGrid w:val="0"/>
              <w:ind w:left="0" w:leftChars="0" w:right="0" w:rightChars="0" w:firstLine="480"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支持将知识点与课程目标结合，成果导向学习。</w:t>
            </w:r>
          </w:p>
        </w:tc>
      </w:tr>
    </w:tbl>
    <w:p w14:paraId="20E52ED5">
      <w:pPr>
        <w:bidi w:val="0"/>
        <w:ind w:firstLine="562" w:firstLineChars="200"/>
        <w:rPr>
          <w:rFonts w:hint="eastAsia" w:ascii="宋体" w:hAnsi="宋体" w:eastAsia="宋体" w:cs="宋体"/>
          <w:b/>
          <w:bCs/>
          <w:color w:val="auto"/>
          <w:sz w:val="28"/>
          <w:szCs w:val="32"/>
          <w:highlight w:val="none"/>
          <w:lang w:val="en-US" w:eastAsia="zh-CN"/>
        </w:rPr>
      </w:pPr>
      <w:r>
        <w:rPr>
          <w:rFonts w:hint="eastAsia" w:ascii="宋体" w:hAnsi="宋体" w:eastAsia="宋体" w:cs="宋体"/>
          <w:b/>
          <w:bCs/>
          <w:color w:val="auto"/>
          <w:sz w:val="28"/>
          <w:szCs w:val="32"/>
          <w:highlight w:val="none"/>
          <w:lang w:val="en-US" w:eastAsia="zh-CN"/>
        </w:rPr>
        <w:t>2.1知识图谱建设与应用</w:t>
      </w:r>
    </w:p>
    <w:p w14:paraId="13425801">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.1支持知识点多层级架构建立，生成分类－知识点关系。</w:t>
      </w:r>
    </w:p>
    <w:p w14:paraId="7336E1CC">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2支持手动添加、批量导入等方式构建知识图谱。批量导入需支持填写知识点名称、标签信息、认知维度、分类属性、教学目标、知识点说明等信息数据。手动编辑需支持单个修改知识点属性编辑，可批量或单独对当前知识点进行移动。</w:t>
      </w:r>
    </w:p>
    <w:p w14:paraId="1B813B3C">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.3支持智能导入，用户上传课程大纲、教材或PPT文件等，系统智能识别构建生成知识图谱。</w:t>
      </w:r>
    </w:p>
    <w:p w14:paraId="14CE24F4">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.4支持本地导入xmind格式的思维导图文件，自动读取文件数据，生成课程知识图谱，并能够导出excel格式文件。</w:t>
      </w:r>
    </w:p>
    <w:p w14:paraId="79465B78">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.5支持与教学平台打通，可通过教学平台现有课程章节选择生成章节图谱。</w:t>
      </w:r>
    </w:p>
    <w:p w14:paraId="28D19814">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.6创建图谱支持同步其他课程图谱，支持全量同步或者部分选择同步。支持教学平台所教的课程导入及从教务课程导入功能支持导入知识点之间的关系。</w:t>
      </w:r>
    </w:p>
    <w:p w14:paraId="3E43EE83">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.7支持AI生成图谱功能，系统可以基于教师已经建设好的网络课程结合AI应用自动生成知识图谱，并支持直接使用生成的图谱，同时支持在生成的图谱上进行自定义化修改。</w:t>
      </w:r>
    </w:p>
    <w:p w14:paraId="61B117BB">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.8知识图谱知识点支持说明添加，可添加富文本编辑框、公式编辑等富媒体文本。支持AI生成知识点说明。</w:t>
      </w:r>
    </w:p>
    <w:p w14:paraId="260C6521">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.9支持知识图谱自定义编辑功能，系统提供至少8种图谱形态，用户可根据课程性质选择合适的图谱形态进行编辑。</w:t>
      </w:r>
    </w:p>
    <w:p w14:paraId="71F871E4">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.10具备批量编辑图谱知识点功能，可实现批量对知识图谱知识点进行删除或移动。大纲模式下可实现对知识点进行批量全选设置。</w:t>
      </w:r>
    </w:p>
    <w:p w14:paraId="6515D06B">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.11支持知识点之间进行前置关系、后置关系、关联关系的设置；支持额外新增其他自定义关系。</w:t>
      </w:r>
    </w:p>
    <w:p w14:paraId="680DD28C">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.12支持给知识点打标签，自定义标签内容，支持同一个支持点标记多个标签。具备附加标签功能，能够实现知识点的分类和标识，支持知识点设定重点、难点以及考点等标签，同时支持用户自定义标签名称。</w:t>
      </w:r>
    </w:p>
    <w:p w14:paraId="75532930">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.13支持知识点被赋予某一分类属性，包括事实性、概念性、程序性、元认知等。</w:t>
      </w:r>
    </w:p>
    <w:p w14:paraId="697DA0FE">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.14</w:t>
      </w:r>
      <w:r>
        <w:rPr>
          <w:rFonts w:hint="eastAsia" w:ascii="宋体" w:hAnsi="宋体" w:eastAsia="宋体" w:cs="宋体"/>
          <w:snapToGrid w:val="0"/>
          <w:color w:val="auto"/>
          <w:spacing w:val="-4"/>
          <w:sz w:val="28"/>
          <w:szCs w:val="28"/>
          <w:highlight w:val="none"/>
        </w:rPr>
        <w:t xml:space="preserve"> </w:t>
      </w:r>
      <w:r>
        <w:rPr>
          <w:rFonts w:hint="eastAsia" w:ascii="宋体" w:hAnsi="宋体" w:eastAsia="宋体" w:cs="宋体"/>
          <w:color w:val="auto"/>
          <w:sz w:val="28"/>
          <w:szCs w:val="28"/>
          <w:highlight w:val="none"/>
        </w:rPr>
        <w:t>支持进行跨课知识点关联，实现不同课程之间知识的聚合联动，关联后可以实现跨课学习并进行专业下多门课程的知识点关联展示应用。</w:t>
      </w:r>
    </w:p>
    <w:p w14:paraId="7C0ECD38">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.15知识图谱显示支持2D和3D展示效果，用户可自主地进行模式切换。</w:t>
      </w:r>
    </w:p>
    <w:p w14:paraId="759CA8A3">
      <w:pPr>
        <w:bidi w:val="0"/>
        <w:ind w:firstLine="562" w:firstLineChars="200"/>
        <w:rPr>
          <w:rFonts w:hint="eastAsia" w:ascii="宋体" w:hAnsi="宋体" w:eastAsia="宋体" w:cs="宋体"/>
          <w:b/>
          <w:bCs/>
          <w:color w:val="auto"/>
          <w:sz w:val="28"/>
          <w:szCs w:val="32"/>
          <w:highlight w:val="none"/>
          <w:lang w:val="en-US" w:eastAsia="zh-CN"/>
        </w:rPr>
      </w:pPr>
      <w:r>
        <w:rPr>
          <w:rFonts w:hint="eastAsia" w:ascii="宋体" w:hAnsi="宋体" w:eastAsia="宋体" w:cs="宋体"/>
          <w:b/>
          <w:bCs/>
          <w:color w:val="auto"/>
          <w:sz w:val="28"/>
          <w:szCs w:val="32"/>
          <w:highlight w:val="none"/>
          <w:lang w:val="en-US" w:eastAsia="zh-CN"/>
        </w:rPr>
        <w:t>2.2问题图谱建设与应用</w:t>
      </w:r>
    </w:p>
    <w:p w14:paraId="15FE6456">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.1基于课程知识图谱，建设不少于三层的问题体系，系统提供对每层级问题的定义能力，允许用户添加问题详情及其与知识点的关联。</w:t>
      </w:r>
    </w:p>
    <w:p w14:paraId="1EDBBB92">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.2支持用户可根据教学需求，自定义栏目标题和描述，以适应多样化的教学情境。支持用户对栏目中节点的名称、描述、标签和知识点进行修改，保持内容的时效性和准确性。</w:t>
      </w:r>
    </w:p>
    <w:p w14:paraId="72704DAF">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.3支持通过图谱形式展现问题与知识点的关联，使用户能够直观理解知识间的联系。</w:t>
      </w:r>
    </w:p>
    <w:p w14:paraId="7D3CB832">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.4提供两种子级问题关联方式，包括层级连线和板块关联功能，以展示问题间的层级结构。</w:t>
      </w:r>
    </w:p>
    <w:p w14:paraId="6DDBF946">
      <w:pPr>
        <w:pStyle w:val="15"/>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.5支持批量导入问题数据和一键导出问题图谱数据，简化教学资源的准备工作。</w:t>
      </w:r>
    </w:p>
    <w:p w14:paraId="3758603F">
      <w:pPr>
        <w:pStyle w:val="15"/>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.6支持开启探索模式，模拟学生学习路径，通过问题选择和知识点关联，促进学生的深入思考。在探索模式中，用户被引导将核心问题与子问题连接，形成知识网络，并通过提交与标准答案对比，实现自我评估。</w:t>
      </w:r>
    </w:p>
    <w:p w14:paraId="0C0FDE9D">
      <w:pPr>
        <w:pStyle w:val="15"/>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.7支持在探索过程中查看相关知识点并进行相关知识点的知识内容学习，有效提高在探索过程中思考解决问题的能力和获取信息的能力。</w:t>
      </w:r>
    </w:p>
    <w:p w14:paraId="433F0B3F">
      <w:pPr>
        <w:pStyle w:val="15"/>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.8系统支持用户在问题图谱讨论区发起新话题，激发学生参与讨论，通过交流深化理解，促进知识共享。</w:t>
      </w:r>
    </w:p>
    <w:p w14:paraId="649F54F7">
      <w:pPr>
        <w:bidi w:val="0"/>
        <w:ind w:firstLine="562" w:firstLineChars="200"/>
        <w:rPr>
          <w:rFonts w:hint="eastAsia" w:ascii="宋体" w:hAnsi="宋体" w:eastAsia="宋体" w:cs="宋体"/>
          <w:b/>
          <w:bCs/>
          <w:color w:val="auto"/>
          <w:sz w:val="28"/>
          <w:szCs w:val="32"/>
          <w:highlight w:val="none"/>
          <w:lang w:val="en-US" w:eastAsia="zh-CN"/>
        </w:rPr>
      </w:pPr>
      <w:r>
        <w:rPr>
          <w:rFonts w:hint="eastAsia" w:ascii="宋体" w:hAnsi="宋体" w:eastAsia="宋体" w:cs="宋体"/>
          <w:b/>
          <w:bCs/>
          <w:color w:val="auto"/>
          <w:sz w:val="28"/>
          <w:szCs w:val="32"/>
          <w:highlight w:val="none"/>
          <w:lang w:val="en-US" w:eastAsia="zh-CN"/>
        </w:rPr>
        <w:t>2.3课程思政图谱建设与应用</w:t>
      </w:r>
    </w:p>
    <w:p w14:paraId="315BCD83">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2.3.</w:t>
      </w:r>
      <w:r>
        <w:rPr>
          <w:rFonts w:hint="eastAsia" w:ascii="宋体" w:hAnsi="宋体" w:eastAsia="宋体" w:cs="宋体"/>
          <w:color w:val="auto"/>
          <w:sz w:val="28"/>
          <w:szCs w:val="28"/>
          <w:highlight w:val="none"/>
        </w:rPr>
        <w:t>1支持自动根据现有的图谱信息生成课程思政图谱的功能。支持将标签为“课程思政”的知识点以花朵的形式呈现，以视觉突出其在课程中的核心地位，同时以花苞的形式展示其他的知识点。</w:t>
      </w:r>
    </w:p>
    <w:p w14:paraId="438786E6">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2.3.2</w:t>
      </w:r>
      <w:r>
        <w:rPr>
          <w:rFonts w:hint="eastAsia" w:ascii="宋体" w:hAnsi="宋体" w:eastAsia="宋体" w:cs="宋体"/>
          <w:color w:val="auto"/>
          <w:sz w:val="28"/>
          <w:szCs w:val="28"/>
          <w:highlight w:val="none"/>
        </w:rPr>
        <w:t>支持搜索功能覆盖知识点、分类和标签，实现全面性，满足用户不同维度的搜索需求。</w:t>
      </w:r>
    </w:p>
    <w:p w14:paraId="0F12F295">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2.3.3</w:t>
      </w:r>
      <w:r>
        <w:rPr>
          <w:rFonts w:hint="eastAsia" w:ascii="宋体" w:hAnsi="宋体" w:eastAsia="宋体" w:cs="宋体"/>
          <w:color w:val="auto"/>
          <w:sz w:val="28"/>
          <w:szCs w:val="28"/>
          <w:highlight w:val="none"/>
        </w:rPr>
        <w:t>支持通过点击操作，可深入分类卡片获取详细信息，知识点用户也可以选择开启卡片，直接跳转至微课进行学习，实现知识获取的快速通道。</w:t>
      </w:r>
    </w:p>
    <w:p w14:paraId="64F0F221">
      <w:pPr>
        <w:bidi w:val="0"/>
        <w:ind w:firstLine="562" w:firstLineChars="200"/>
        <w:rPr>
          <w:rFonts w:hint="eastAsia" w:ascii="宋体" w:hAnsi="宋体" w:eastAsia="宋体" w:cs="宋体"/>
          <w:b/>
          <w:bCs/>
          <w:color w:val="auto"/>
          <w:sz w:val="28"/>
          <w:szCs w:val="32"/>
          <w:highlight w:val="none"/>
          <w:lang w:val="en-US" w:eastAsia="zh-CN"/>
        </w:rPr>
      </w:pPr>
      <w:r>
        <w:rPr>
          <w:rFonts w:hint="eastAsia" w:ascii="宋体" w:hAnsi="宋体" w:eastAsia="宋体" w:cs="宋体"/>
          <w:b/>
          <w:bCs/>
          <w:color w:val="auto"/>
          <w:sz w:val="28"/>
          <w:szCs w:val="32"/>
          <w:highlight w:val="none"/>
          <w:lang w:val="en-US" w:eastAsia="zh-CN"/>
        </w:rPr>
        <w:t>2.4目标图谱建设</w:t>
      </w:r>
    </w:p>
    <w:p w14:paraId="0A85B814">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2.4</w:t>
      </w:r>
      <w:r>
        <w:rPr>
          <w:rFonts w:hint="eastAsia" w:ascii="宋体" w:hAnsi="宋体" w:eastAsia="宋体" w:cs="宋体"/>
          <w:color w:val="auto"/>
          <w:sz w:val="28"/>
          <w:szCs w:val="28"/>
          <w:highlight w:val="none"/>
        </w:rPr>
        <w:t>.1系统允许根据不同班级特点定制课程目标，以满足特定教学需求。支持课程目标模板导入/一键导出功能，便于教师对于课程目标可以直观浏览和整理，同时也能有效地和其他工具同时使用。</w:t>
      </w:r>
    </w:p>
    <w:p w14:paraId="32C0D177">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2.4</w:t>
      </w:r>
      <w:r>
        <w:rPr>
          <w:rFonts w:hint="eastAsia" w:ascii="宋体" w:hAnsi="宋体" w:eastAsia="宋体" w:cs="宋体"/>
          <w:color w:val="auto"/>
          <w:sz w:val="28"/>
          <w:szCs w:val="28"/>
          <w:highlight w:val="none"/>
        </w:rPr>
        <w:t>.2支持课程目标与知识点进行关联，以展示目标与教学内容的直接联系。</w:t>
      </w:r>
    </w:p>
    <w:p w14:paraId="6553A6D3">
      <w:pPr>
        <w:spacing w:after="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2.4</w:t>
      </w:r>
      <w:r>
        <w:rPr>
          <w:rFonts w:hint="eastAsia" w:ascii="宋体" w:hAnsi="宋体" w:eastAsia="宋体" w:cs="宋体"/>
          <w:color w:val="auto"/>
          <w:sz w:val="28"/>
          <w:szCs w:val="28"/>
          <w:highlight w:val="none"/>
        </w:rPr>
        <w:t>.3支持以柱状图展示课程目标关联知识点的个数，提供直观的统计信息</w:t>
      </w:r>
      <w:r>
        <w:rPr>
          <w:rFonts w:hint="eastAsia" w:ascii="宋体" w:hAnsi="宋体" w:eastAsia="宋体" w:cs="宋体"/>
          <w:color w:val="auto"/>
          <w:sz w:val="28"/>
          <w:szCs w:val="28"/>
          <w:highlight w:val="none"/>
          <w:lang w:eastAsia="zh-CN"/>
        </w:rPr>
        <w:t>。</w:t>
      </w:r>
    </w:p>
    <w:p w14:paraId="23DAC77E">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2.4</w:t>
      </w:r>
      <w:r>
        <w:rPr>
          <w:rFonts w:hint="eastAsia" w:ascii="宋体" w:hAnsi="宋体" w:eastAsia="宋体" w:cs="宋体"/>
          <w:color w:val="auto"/>
          <w:sz w:val="28"/>
          <w:szCs w:val="28"/>
          <w:highlight w:val="none"/>
        </w:rPr>
        <w:t>.4支持以列表形式展示课程目标总数、课程目标名称、课程目标说明、课程目标标签以及所关联的知识点个数，方便用户快速浏览和了解。</w:t>
      </w:r>
    </w:p>
    <w:p w14:paraId="1B23ECB1">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2.4</w:t>
      </w:r>
      <w:r>
        <w:rPr>
          <w:rFonts w:hint="eastAsia" w:ascii="宋体" w:hAnsi="宋体" w:eastAsia="宋体" w:cs="宋体"/>
          <w:color w:val="auto"/>
          <w:sz w:val="28"/>
          <w:szCs w:val="28"/>
          <w:highlight w:val="none"/>
        </w:rPr>
        <w:t>.5支持以图谱形式展示每个课程目标所关联的知识点情况，增强信息的可视化效果。</w:t>
      </w:r>
    </w:p>
    <w:p w14:paraId="548826FA">
      <w:pPr>
        <w:bidi w:val="0"/>
        <w:ind w:firstLine="562" w:firstLineChars="200"/>
        <w:rPr>
          <w:rFonts w:hint="eastAsia" w:ascii="宋体" w:hAnsi="宋体" w:eastAsia="宋体" w:cs="宋体"/>
          <w:b/>
          <w:bCs/>
          <w:color w:val="auto"/>
          <w:sz w:val="28"/>
          <w:szCs w:val="32"/>
          <w:highlight w:val="none"/>
          <w:lang w:val="en-US" w:eastAsia="zh-CN"/>
        </w:rPr>
      </w:pPr>
      <w:r>
        <w:rPr>
          <w:rFonts w:hint="eastAsia" w:ascii="宋体" w:hAnsi="宋体" w:eastAsia="宋体" w:cs="宋体"/>
          <w:b/>
          <w:bCs/>
          <w:color w:val="auto"/>
          <w:sz w:val="28"/>
          <w:szCs w:val="32"/>
          <w:highlight w:val="none"/>
          <w:lang w:val="en-US" w:eastAsia="zh-CN"/>
        </w:rPr>
        <w:t>2.5.自定义图谱建设</w:t>
      </w:r>
    </w:p>
    <w:p w14:paraId="064C17F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.1具备自定义图谱功能，可根据个性化的图谱展示进行自定义图谱建设。</w:t>
      </w:r>
    </w:p>
    <w:p w14:paraId="3041369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.2提供多种图谱样式，满足教师不同教学场景，供自由选择。</w:t>
      </w:r>
    </w:p>
    <w:p w14:paraId="7960FADA">
      <w:pPr>
        <w:bidi w:val="0"/>
        <w:ind w:firstLine="562" w:firstLineChars="200"/>
        <w:rPr>
          <w:rFonts w:hint="eastAsia" w:ascii="宋体" w:hAnsi="宋体" w:eastAsia="宋体" w:cs="宋体"/>
          <w:b/>
          <w:bCs/>
          <w:color w:val="auto"/>
          <w:sz w:val="28"/>
          <w:szCs w:val="32"/>
          <w:highlight w:val="none"/>
          <w:lang w:val="en-US" w:eastAsia="zh-CN"/>
        </w:rPr>
      </w:pPr>
      <w:r>
        <w:rPr>
          <w:rFonts w:hint="eastAsia" w:ascii="宋体" w:hAnsi="宋体" w:eastAsia="宋体" w:cs="宋体"/>
          <w:b/>
          <w:bCs/>
          <w:color w:val="auto"/>
          <w:sz w:val="28"/>
          <w:szCs w:val="32"/>
          <w:highlight w:val="none"/>
          <w:lang w:val="en-US" w:eastAsia="zh-CN"/>
        </w:rPr>
        <w:t>2.6知识点微课建设与应用</w:t>
      </w:r>
    </w:p>
    <w:p w14:paraId="188475D5">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.1支持教师对课程章节内容，包括——视频、音频、文档、图书、章节测验等进行知识点标记，作为知识点教学任务进行设置，方便学生按知识点进行任务学习。</w:t>
      </w:r>
    </w:p>
    <w:p w14:paraId="7128D3CA">
      <w:pPr>
        <w:tabs>
          <w:tab w:val="left" w:pos="720"/>
        </w:tabs>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支持按知识点上传资源，并查看知识点关联资源数量，方便教师按知识点管理资源。</w:t>
      </w:r>
    </w:p>
    <w:p w14:paraId="053E8DE6">
      <w:pPr>
        <w:tabs>
          <w:tab w:val="left" w:pos="720"/>
        </w:tabs>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知识点卡片须具备资料添加功能，可通过添加资料关联建设知识点下相关课程资料及其他相关资源。</w:t>
      </w:r>
    </w:p>
    <w:p w14:paraId="450719C3">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支持多种题型的创建管理，包括单选、多选、填空、判断、简答、名词解析、论述、计算、分录、连线、排序、完形填空、阅读理解、口语、听力等常见题型。</w:t>
      </w:r>
    </w:p>
    <w:p w14:paraId="36997526">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支持在创建或编辑题目时标记每道题对应的知识点标签，并支持按知识点筛选管理题目。支持按模板批量导入题目时导入题目知识点，支持批量编辑题目关联知识点。</w:t>
      </w:r>
    </w:p>
    <w:p w14:paraId="14874750">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题目关联知识点操作时系统支持智能推荐知识点，便于教师快速进行关联操作。</w:t>
      </w:r>
    </w:p>
    <w:p w14:paraId="24C78821">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支持AI生成学习内容，系统结合AI可根据教师网络课程内容自动生成知识点学习内容，生成的内容可一键加入微课中。</w:t>
      </w:r>
    </w:p>
    <w:p w14:paraId="15BE1915">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支持错题显示解析以及相关知识点。图谱知识点学习界面支持错题集功能，可将学生学习过程中产生的错题归类到知识点下的错题集中。</w:t>
      </w:r>
    </w:p>
    <w:p w14:paraId="385267EA">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支持学生查看课程知识图谱，并查看每个知识点的学习进度情况。</w:t>
      </w:r>
    </w:p>
    <w:p w14:paraId="0D964BC0">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支持学生按知识点进行课程任务学习，观看课程视频，阅读课程资料等。</w:t>
      </w:r>
    </w:p>
    <w:p w14:paraId="3BD230D2">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支持学生按知识点从题库或错题本抽题，逐题自测。支持学生自测时可以设置抽题范围，仅抽当前知识点以及前置知识点的题，避免抽到未开始学习的知识点试题。</w:t>
      </w:r>
    </w:p>
    <w:p w14:paraId="7AEBF036">
      <w:pPr>
        <w:tabs>
          <w:tab w:val="left" w:pos="720"/>
        </w:tabs>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学生端可以查看</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"javascript:void(0);" \o "推荐资源"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推荐资源</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，进行拓展学习。推荐资源应基于知识点智能推荐课程、资源、课程思政资源、题目、论文、期刊、图书、互联网资源等。</w:t>
      </w:r>
    </w:p>
    <w:p w14:paraId="2054CC3F">
      <w:pPr>
        <w:spacing w:after="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支持精准教学设计功能，可以自定义建设事件，可设置知识点的掌握率及完成率的设置，支持自定义学习路径或者微课资料，支持设置对应的动作</w:t>
      </w:r>
      <w:r>
        <w:rPr>
          <w:rFonts w:hint="eastAsia" w:ascii="宋体" w:hAnsi="宋体" w:eastAsia="宋体" w:cs="宋体"/>
          <w:color w:val="auto"/>
          <w:sz w:val="28"/>
          <w:szCs w:val="28"/>
          <w:highlight w:val="none"/>
          <w:lang w:eastAsia="zh-CN"/>
        </w:rPr>
        <w:t>。</w:t>
      </w:r>
    </w:p>
    <w:p w14:paraId="79BBCF59">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 支持视频的虚拟剪辑，只需要拖动视频播放的起始点、终止点，就可以将视频文件按照课程的要求剪辑成适当长度，教师还可手动输入时间点，进行视频在线虚拟剪辑。</w:t>
      </w:r>
    </w:p>
    <w:p w14:paraId="7D59B27B">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 支持制作富媒体课程，其中包含电子书任务点设置（限制页码范围）和富媒体资源插入（至少包括：视频、电子书、在线录音、章节测验等），并展示富文本编辑器的图文混排效果。插入的PPT内容，必须不需要安装任何插件，在浏览器页面原样展示PPT。</w:t>
      </w:r>
    </w:p>
    <w:p w14:paraId="0649C65A">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 xml:space="preserve"> 支持视频替换功能，替换学习视频后，不影响学生已产生的学习记录和成绩。</w:t>
      </w:r>
    </w:p>
    <w:p w14:paraId="71A7682A">
      <w:pPr>
        <w:spacing w:after="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对课程建设系统中的视频进行智能分析，自动匹配课程中的知识点，并在视频对应的时间点进行自动打点，同时基于人工智能技术生成知识点词云、思维导图分析并展示；视频播放时学生可以定位到时间点观看对应知识点的视频讲解</w:t>
      </w:r>
      <w:r>
        <w:rPr>
          <w:rFonts w:hint="eastAsia" w:ascii="宋体" w:hAnsi="宋体" w:eastAsia="宋体" w:cs="宋体"/>
          <w:color w:val="auto"/>
          <w:sz w:val="28"/>
          <w:szCs w:val="28"/>
          <w:highlight w:val="none"/>
          <w:lang w:eastAsia="zh-CN"/>
        </w:rPr>
        <w:t>。</w:t>
      </w:r>
    </w:p>
    <w:p w14:paraId="5C85BA88">
      <w:pPr>
        <w:spacing w:after="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对课程视频进行智能切片，按切片时间点点击可跳转学习对应片段视频</w:t>
      </w:r>
      <w:r>
        <w:rPr>
          <w:rFonts w:hint="eastAsia" w:ascii="宋体" w:hAnsi="宋体" w:eastAsia="宋体" w:cs="宋体"/>
          <w:color w:val="auto"/>
          <w:sz w:val="28"/>
          <w:szCs w:val="28"/>
          <w:highlight w:val="none"/>
          <w:lang w:eastAsia="zh-CN"/>
        </w:rPr>
        <w:t>。</w:t>
      </w:r>
    </w:p>
    <w:p w14:paraId="280D246B">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支持学生对不懂的视频或PDF文档点击“不懂”，触发AI助教及时答疑，页面自动截屏供AI助教分析。</w:t>
      </w:r>
    </w:p>
    <w:p w14:paraId="11449D4E">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支持学生进入课程、观看视频时进行人脸识别和抓拍。观看视频抓拍支持视频起始、视频播放、视频暂停再播放、视频结束抓拍设置，也支持播放中的定时抓拍，如10分钟抓拍一次和随机抓拍。识别失败支持记录并继续学习和不允许学习的配置。</w:t>
      </w:r>
    </w:p>
    <w:p w14:paraId="04CEEC1C">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支持课程考核的试卷导出功能，至少支持A3、A4、B4等版式。支持自定义设置导出试卷模板，包括密封线位置，显示的课程信息，学生信息，考试承诺书等多项内容。</w:t>
      </w:r>
    </w:p>
    <w:p w14:paraId="3043AB54">
      <w:pPr>
        <w:bidi w:val="0"/>
        <w:ind w:firstLine="562" w:firstLineChars="200"/>
        <w:rPr>
          <w:rFonts w:hint="eastAsia" w:ascii="宋体" w:hAnsi="宋体" w:eastAsia="宋体" w:cs="宋体"/>
          <w:b/>
          <w:bCs/>
          <w:color w:val="auto"/>
          <w:sz w:val="28"/>
          <w:szCs w:val="32"/>
          <w:highlight w:val="none"/>
          <w:lang w:val="en-US" w:eastAsia="zh-CN"/>
        </w:rPr>
      </w:pPr>
      <w:r>
        <w:rPr>
          <w:rFonts w:hint="eastAsia" w:ascii="宋体" w:hAnsi="宋体" w:eastAsia="宋体" w:cs="宋体"/>
          <w:b/>
          <w:bCs/>
          <w:color w:val="auto"/>
          <w:sz w:val="28"/>
          <w:szCs w:val="32"/>
          <w:highlight w:val="none"/>
          <w:lang w:val="en-US" w:eastAsia="zh-CN"/>
        </w:rPr>
        <w:t>2.7基于知识图谱的数智驱动数据分析与统计</w:t>
      </w:r>
    </w:p>
    <w:p w14:paraId="140D6E73">
      <w:pPr>
        <w:spacing w:after="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rPr>
        <w:t>.1支持教师查看知识图谱的知识点建设情况，包括知识点建设率、图谱知识点总数、图谱关联资源知识点数、已设置标签的知识点数、图谱未关联资源知识点数等</w:t>
      </w:r>
      <w:r>
        <w:rPr>
          <w:rFonts w:hint="eastAsia" w:ascii="宋体" w:hAnsi="宋体" w:eastAsia="宋体" w:cs="宋体"/>
          <w:color w:val="auto"/>
          <w:sz w:val="28"/>
          <w:szCs w:val="28"/>
          <w:highlight w:val="none"/>
          <w:lang w:eastAsia="zh-CN"/>
        </w:rPr>
        <w:t>。</w:t>
      </w:r>
    </w:p>
    <w:p w14:paraId="2F10882A">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rPr>
        <w:t>.2支持查看不同知识点属性概况数据；支持查看图谱资源总数，关联视频、音频、文档、题目及其他类型资源数等；支持查看知识点关联资源数量排行榜。</w:t>
      </w:r>
    </w:p>
    <w:p w14:paraId="39F6210E">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rPr>
        <w:t>.3支持教师查看不同班级的学情数据，包括每个知识点的完成率与掌握率、知识点热度、完成率与掌握率的学情分段人数、学生完成率与掌握率排行情况等数据。</w:t>
      </w:r>
    </w:p>
    <w:p w14:paraId="652894D1">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rPr>
        <w:t>.4支持教师选择多个不同班级进行学情数据对比，对比内容包括班级掌握率、班级完成率、完成率区间对比与掌握率区间对比等数据。通过班级对比分析，便于教师更好地了解不同班级间的学习差异。</w:t>
      </w:r>
    </w:p>
    <w:p w14:paraId="04EC516D">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rPr>
        <w:t>.5支持教师依据知识点的属性或分类层级，灵活选取多样的评价维度，进而生成学生或班级画像。</w:t>
      </w:r>
    </w:p>
    <w:p w14:paraId="60E20CE9">
      <w:pPr>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rPr>
        <w:t>.6通过统计各维度知识点的完成率与掌握率，精准了解和分析班级或学生的学习状况。</w:t>
      </w:r>
    </w:p>
    <w:p w14:paraId="5D9467C6">
      <w:pPr>
        <w:bidi w:val="0"/>
        <w:ind w:firstLine="562" w:firstLineChars="200"/>
        <w:rPr>
          <w:rFonts w:hint="eastAsia" w:ascii="宋体" w:hAnsi="宋体" w:eastAsia="宋体" w:cs="宋体"/>
          <w:b/>
          <w:bCs/>
          <w:color w:val="auto"/>
          <w:sz w:val="28"/>
          <w:szCs w:val="32"/>
          <w:highlight w:val="none"/>
          <w:lang w:val="en-US" w:eastAsia="zh-CN"/>
        </w:rPr>
      </w:pPr>
      <w:r>
        <w:rPr>
          <w:rFonts w:hint="eastAsia" w:ascii="宋体" w:hAnsi="宋体" w:eastAsia="宋体" w:cs="宋体"/>
          <w:b/>
          <w:bCs/>
          <w:color w:val="auto"/>
          <w:sz w:val="28"/>
          <w:szCs w:val="32"/>
          <w:highlight w:val="none"/>
          <w:lang w:val="en-US" w:eastAsia="zh-CN"/>
        </w:rPr>
        <w:t>2.8移动端知识图谱应用</w:t>
      </w:r>
    </w:p>
    <w:p w14:paraId="2C9CBF39">
      <w:pPr>
        <w:pStyle w:val="4"/>
        <w:autoSpaceDE/>
        <w:autoSpaceDN/>
        <w:spacing w:after="120" w:line="360" w:lineRule="auto"/>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2.8</w:t>
      </w:r>
      <w:r>
        <w:rPr>
          <w:rFonts w:hint="eastAsia" w:ascii="宋体" w:hAnsi="宋体" w:eastAsia="宋体" w:cs="宋体"/>
          <w:b w:val="0"/>
          <w:bCs w:val="0"/>
          <w:color w:val="auto"/>
          <w:sz w:val="28"/>
          <w:szCs w:val="28"/>
          <w:highlight w:val="none"/>
        </w:rPr>
        <w:t>.1支持用户通过移动端设备访问知识图谱，实现随时随地的个性化学习。移动端提供图谱模式、大纲模式和学习地图模式，以适应不同用户的学习偏好和场景需求。</w:t>
      </w:r>
    </w:p>
    <w:p w14:paraId="23DC60AE">
      <w:pPr>
        <w:pStyle w:val="4"/>
        <w:autoSpaceDE/>
        <w:autoSpaceDN/>
        <w:spacing w:after="120" w:line="360" w:lineRule="auto"/>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2.8</w:t>
      </w:r>
      <w:r>
        <w:rPr>
          <w:rFonts w:hint="eastAsia" w:ascii="宋体" w:hAnsi="宋体" w:eastAsia="宋体" w:cs="宋体"/>
          <w:b w:val="0"/>
          <w:bCs w:val="0"/>
          <w:color w:val="auto"/>
          <w:sz w:val="28"/>
          <w:szCs w:val="28"/>
          <w:highlight w:val="none"/>
        </w:rPr>
        <w:t>.2移动端图谱模式下，用户可以选择导航模式或全局模式，分别深入探索或宏观把握知识结构。移动端图谱模式下左侧导航区域以列表形式展示分类和知识点，支持快速定位和子级展开。</w:t>
      </w:r>
    </w:p>
    <w:p w14:paraId="5BF74405">
      <w:pPr>
        <w:pStyle w:val="4"/>
        <w:autoSpaceDE/>
        <w:autoSpaceDN/>
        <w:spacing w:after="120" w:line="360" w:lineRule="auto"/>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2.8</w:t>
      </w:r>
      <w:r>
        <w:rPr>
          <w:rFonts w:hint="eastAsia" w:ascii="宋体" w:hAnsi="宋体" w:eastAsia="宋体" w:cs="宋体"/>
          <w:b w:val="0"/>
          <w:bCs w:val="0"/>
          <w:color w:val="auto"/>
          <w:sz w:val="28"/>
          <w:szCs w:val="28"/>
          <w:highlight w:val="none"/>
        </w:rPr>
        <w:t>.3支持基于关键字的搜索和模糊匹配，帮助用户迅速找到目标知识点及相关全面信息。</w:t>
      </w:r>
    </w:p>
    <w:p w14:paraId="37F94B69">
      <w:pPr>
        <w:pStyle w:val="4"/>
        <w:autoSpaceDE/>
        <w:autoSpaceDN/>
        <w:spacing w:after="120" w:line="360" w:lineRule="auto"/>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2.8</w:t>
      </w:r>
      <w:r>
        <w:rPr>
          <w:rFonts w:hint="eastAsia" w:ascii="宋体" w:hAnsi="宋体" w:eastAsia="宋体" w:cs="宋体"/>
          <w:b w:val="0"/>
          <w:bCs w:val="0"/>
          <w:color w:val="auto"/>
          <w:sz w:val="28"/>
          <w:szCs w:val="28"/>
          <w:highlight w:val="none"/>
        </w:rPr>
        <w:t>.4移动端导航模式下，图谱以一种集中的形态展示最高层级的分类或知识点，允许用户通过交互进一步探索其子级和它们之间的联系。</w:t>
      </w:r>
    </w:p>
    <w:p w14:paraId="3313D245">
      <w:pPr>
        <w:pStyle w:val="4"/>
        <w:autoSpaceDE/>
        <w:autoSpaceDN/>
        <w:spacing w:after="120" w:line="360" w:lineRule="auto"/>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2.8</w:t>
      </w:r>
      <w:r>
        <w:rPr>
          <w:rFonts w:hint="eastAsia" w:ascii="宋体" w:hAnsi="宋体" w:eastAsia="宋体" w:cs="宋体"/>
          <w:b w:val="0"/>
          <w:bCs w:val="0"/>
          <w:color w:val="auto"/>
          <w:sz w:val="28"/>
          <w:szCs w:val="28"/>
          <w:highlight w:val="none"/>
        </w:rPr>
        <w:t>.5移动端直观展示知识点掌握率和完成率，反映用户个人学习情况。</w:t>
      </w:r>
    </w:p>
    <w:p w14:paraId="60549A86">
      <w:pPr>
        <w:pStyle w:val="4"/>
        <w:autoSpaceDE/>
        <w:autoSpaceDN/>
        <w:spacing w:after="120" w:line="360" w:lineRule="auto"/>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2.8</w:t>
      </w:r>
      <w:r>
        <w:rPr>
          <w:rFonts w:hint="eastAsia" w:ascii="宋体" w:hAnsi="宋体" w:eastAsia="宋体" w:cs="宋体"/>
          <w:b w:val="0"/>
          <w:bCs w:val="0"/>
          <w:color w:val="auto"/>
          <w:sz w:val="28"/>
          <w:szCs w:val="28"/>
          <w:highlight w:val="none"/>
        </w:rPr>
        <w:t>.6支持从宏观和微观视角展示用户的知识点掌握情况，并允许与班级整体表现进行比较。</w:t>
      </w:r>
    </w:p>
    <w:p w14:paraId="20A8BE47">
      <w:pPr>
        <w:pStyle w:val="4"/>
        <w:autoSpaceDE/>
        <w:autoSpaceDN/>
        <w:spacing w:after="120" w:line="360" w:lineRule="auto"/>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2.8</w:t>
      </w:r>
      <w:r>
        <w:rPr>
          <w:rFonts w:hint="eastAsia" w:ascii="宋体" w:hAnsi="宋体" w:eastAsia="宋体" w:cs="宋体"/>
          <w:b w:val="0"/>
          <w:bCs w:val="0"/>
          <w:color w:val="auto"/>
          <w:sz w:val="28"/>
          <w:szCs w:val="28"/>
          <w:highlight w:val="none"/>
        </w:rPr>
        <w:t>.7支持查看和该知识点相关的错题集，帮助用户更有针对性地进行复习。</w:t>
      </w:r>
    </w:p>
    <w:p w14:paraId="7D9FA2DE">
      <w:pPr>
        <w:pStyle w:val="4"/>
        <w:autoSpaceDE/>
        <w:autoSpaceDN/>
        <w:spacing w:after="120" w:line="360" w:lineRule="auto"/>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2.8</w:t>
      </w:r>
      <w:r>
        <w:rPr>
          <w:rFonts w:hint="eastAsia" w:ascii="宋体" w:hAnsi="宋体" w:eastAsia="宋体" w:cs="宋体"/>
          <w:b w:val="0"/>
          <w:bCs w:val="0"/>
          <w:color w:val="auto"/>
          <w:sz w:val="28"/>
          <w:szCs w:val="28"/>
          <w:highlight w:val="none"/>
        </w:rPr>
        <w:t>.8支持点击知识点跳转至微课进行深入学习。移动端微课提供分析、学习内容、自测、资料、错题集、讨论等多功能模块。</w:t>
      </w:r>
    </w:p>
    <w:p w14:paraId="4C7FD510">
      <w:pPr>
        <w:pStyle w:val="4"/>
        <w:autoSpaceDE/>
        <w:autoSpaceDN/>
        <w:spacing w:after="120" w:line="360" w:lineRule="auto"/>
        <w:ind w:firstLine="560" w:firstLineChars="20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2.8</w:t>
      </w:r>
      <w:r>
        <w:rPr>
          <w:rFonts w:hint="eastAsia" w:ascii="宋体" w:hAnsi="宋体" w:eastAsia="宋体" w:cs="宋体"/>
          <w:b w:val="0"/>
          <w:bCs w:val="0"/>
          <w:color w:val="auto"/>
          <w:sz w:val="28"/>
          <w:szCs w:val="28"/>
          <w:highlight w:val="none"/>
        </w:rPr>
        <w:t>.9用户可以根据个人需求在移动端微课选择自测模式，包括时间限制和题目选择，以创建专属的自测体验。自测功能支持仅从未尝试过的题目中抽取，确保每次自测的新鲜感和有效性。</w:t>
      </w:r>
    </w:p>
    <w:p w14:paraId="2080AAE0">
      <w:pPr>
        <w:pStyle w:val="4"/>
        <w:spacing w:after="120"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2.8</w:t>
      </w:r>
      <w:r>
        <w:rPr>
          <w:rFonts w:hint="eastAsia" w:ascii="宋体" w:hAnsi="宋体" w:eastAsia="宋体" w:cs="宋体"/>
          <w:b w:val="0"/>
          <w:bCs w:val="0"/>
          <w:color w:val="auto"/>
          <w:sz w:val="28"/>
          <w:szCs w:val="28"/>
          <w:highlight w:val="none"/>
        </w:rPr>
        <w:t>.10支持对课程所有资源进行智能安全检测。可通过后台配置关键词、忽略词，便于系统审核时，对关键词和忽略词进行屏蔽与忽略，降低人工审核的错误率。</w:t>
      </w:r>
    </w:p>
    <w:p w14:paraId="082C8098">
      <w:pPr>
        <w:pStyle w:val="4"/>
        <w:spacing w:after="120"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2.8</w:t>
      </w:r>
      <w:r>
        <w:rPr>
          <w:rFonts w:hint="eastAsia" w:ascii="宋体" w:hAnsi="宋体" w:eastAsia="宋体" w:cs="宋体"/>
          <w:b w:val="0"/>
          <w:bCs w:val="0"/>
          <w:color w:val="auto"/>
          <w:sz w:val="28"/>
          <w:szCs w:val="28"/>
          <w:highlight w:val="none"/>
        </w:rPr>
        <w:t>.11多维度审核：支持针对文本、图片、文档、课程进行在线审核，审查资源中是否包括多类敏感违规文本或图片。</w:t>
      </w:r>
    </w:p>
    <w:p w14:paraId="5CF8D21F">
      <w:pPr>
        <w:pStyle w:val="4"/>
        <w:spacing w:after="120"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2.8</w:t>
      </w:r>
      <w:r>
        <w:rPr>
          <w:rFonts w:hint="eastAsia" w:ascii="宋体" w:hAnsi="宋体" w:eastAsia="宋体" w:cs="宋体"/>
          <w:b w:val="0"/>
          <w:bCs w:val="0"/>
          <w:color w:val="auto"/>
          <w:sz w:val="28"/>
          <w:szCs w:val="28"/>
          <w:highlight w:val="none"/>
        </w:rPr>
        <w:t>.12文本纠错：对日常公文、网站文章等多类型来源的文本进行自动化、智能化的纠错校对，快速识别拼写、语法、搭配、机构名称等问题并给出提示和纠错建议。</w:t>
      </w:r>
    </w:p>
    <w:p w14:paraId="269EB5FF">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3.AI助教协同、AI工作台增效：推进教&amp;学范式转型。</w:t>
      </w:r>
    </w:p>
    <w:p w14:paraId="60976666">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val="en-US" w:eastAsia="zh-CN"/>
        </w:rPr>
        <w:t>1）</w:t>
      </w:r>
      <w:r>
        <w:rPr>
          <w:rFonts w:hint="eastAsia" w:asciiTheme="minorEastAsia" w:hAnsiTheme="minorEastAsia"/>
          <w:b/>
          <w:bCs/>
          <w:color w:val="auto"/>
          <w:sz w:val="28"/>
          <w:szCs w:val="28"/>
          <w:highlight w:val="none"/>
        </w:rPr>
        <w:t>功能需求：</w:t>
      </w:r>
    </w:p>
    <w:p w14:paraId="34A61B36">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color w:val="auto"/>
          <w:sz w:val="28"/>
          <w:szCs w:val="28"/>
          <w:highlight w:val="none"/>
        </w:rPr>
      </w:pPr>
      <w:r>
        <w:rPr>
          <w:rFonts w:hint="eastAsia" w:asciiTheme="minorEastAsia" w:hAnsiTheme="minorEastAsia"/>
          <w:b/>
          <w:bCs/>
          <w:color w:val="auto"/>
          <w:sz w:val="28"/>
          <w:szCs w:val="28"/>
          <w:highlight w:val="none"/>
        </w:rPr>
        <w:t>智能问答：</w:t>
      </w:r>
      <w:r>
        <w:rPr>
          <w:rFonts w:hint="eastAsia" w:asciiTheme="minorEastAsia" w:hAnsiTheme="minorEastAsia"/>
          <w:color w:val="auto"/>
          <w:sz w:val="28"/>
          <w:szCs w:val="28"/>
          <w:highlight w:val="none"/>
        </w:rPr>
        <w:t>支持基于课程内容的知识库进行问答，答案应准确并注明来源。</w:t>
      </w:r>
    </w:p>
    <w:p w14:paraId="024F21B5">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color w:val="auto"/>
          <w:sz w:val="28"/>
          <w:szCs w:val="28"/>
          <w:highlight w:val="none"/>
        </w:rPr>
      </w:pPr>
      <w:r>
        <w:rPr>
          <w:rFonts w:hint="eastAsia" w:asciiTheme="minorEastAsia" w:hAnsiTheme="minorEastAsia"/>
          <w:b/>
          <w:bCs/>
          <w:color w:val="auto"/>
          <w:sz w:val="28"/>
          <w:szCs w:val="28"/>
          <w:highlight w:val="none"/>
        </w:rPr>
        <w:t>资源推荐：</w:t>
      </w:r>
      <w:r>
        <w:rPr>
          <w:rFonts w:hint="eastAsia" w:asciiTheme="minorEastAsia" w:hAnsiTheme="minorEastAsia"/>
          <w:color w:val="auto"/>
          <w:sz w:val="28"/>
          <w:szCs w:val="28"/>
          <w:highlight w:val="none"/>
        </w:rPr>
        <w:t>能根据学生学习进度，推荐相关的课内及拓展学习资源。</w:t>
      </w:r>
    </w:p>
    <w:p w14:paraId="7D3EDD17">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color w:val="auto"/>
          <w:sz w:val="28"/>
          <w:szCs w:val="28"/>
          <w:highlight w:val="none"/>
        </w:rPr>
      </w:pPr>
      <w:r>
        <w:rPr>
          <w:rFonts w:hint="eastAsia" w:asciiTheme="minorEastAsia" w:hAnsiTheme="minorEastAsia"/>
          <w:b/>
          <w:bCs/>
          <w:color w:val="auto"/>
          <w:sz w:val="28"/>
          <w:szCs w:val="28"/>
          <w:highlight w:val="none"/>
        </w:rPr>
        <w:t>AI教学辅助：</w:t>
      </w:r>
      <w:r>
        <w:rPr>
          <w:rFonts w:hint="eastAsia" w:asciiTheme="minorEastAsia" w:hAnsiTheme="minorEastAsia"/>
          <w:color w:val="auto"/>
          <w:sz w:val="28"/>
          <w:szCs w:val="28"/>
          <w:highlight w:val="none"/>
        </w:rPr>
        <w:t>支持对教师上传的文档（如Word、PPT）进行内容审查（如错别字标识）。</w:t>
      </w:r>
    </w:p>
    <w:p w14:paraId="0343526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【辅助功能】：</w:t>
      </w:r>
    </w:p>
    <w:p w14:paraId="7C365BFE">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多轮对话、语音输入、图片提问。</w:t>
      </w:r>
    </w:p>
    <w:p w14:paraId="3F37AD1B">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AI辅助出题、主观题智能打分。</w:t>
      </w:r>
    </w:p>
    <w:p w14:paraId="5C512549">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基于AI的视频知识点自动打点与切片。</w:t>
      </w:r>
    </w:p>
    <w:p w14:paraId="5F36AE8C">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color w:val="auto"/>
          <w:sz w:val="28"/>
          <w:szCs w:val="28"/>
          <w:highlight w:val="none"/>
        </w:rPr>
      </w:pPr>
      <w:r>
        <w:rPr>
          <w:rFonts w:hint="eastAsia" w:asciiTheme="minorEastAsia" w:hAnsiTheme="minorEastAsia"/>
          <w:b/>
          <w:bCs/>
          <w:color w:val="auto"/>
          <w:sz w:val="28"/>
          <w:szCs w:val="28"/>
          <w:highlight w:val="none"/>
          <w:lang w:val="en-US" w:eastAsia="zh-CN"/>
        </w:rPr>
        <w:t>2）</w:t>
      </w:r>
      <w:r>
        <w:rPr>
          <w:rFonts w:hint="eastAsia" w:asciiTheme="minorEastAsia" w:hAnsiTheme="minorEastAsia"/>
          <w:b/>
          <w:bCs/>
          <w:color w:val="auto"/>
          <w:sz w:val="28"/>
          <w:szCs w:val="28"/>
          <w:highlight w:val="none"/>
        </w:rPr>
        <w:t>实施要求：</w:t>
      </w:r>
      <w:r>
        <w:rPr>
          <w:rFonts w:hint="eastAsia" w:asciiTheme="minorEastAsia" w:hAnsiTheme="minorEastAsia"/>
          <w:color w:val="auto"/>
          <w:sz w:val="28"/>
          <w:szCs w:val="28"/>
          <w:highlight w:val="none"/>
        </w:rPr>
        <w:t>供应商应明确说明其AI功能的技术路径、数据来源及局限性。AI助教应能优先调用本项目建设的课程资源库进行答疑。</w:t>
      </w:r>
    </w:p>
    <w:p w14:paraId="4B85441B">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AI赋能的具体功能如下表所示：</w:t>
      </w:r>
    </w:p>
    <w:tbl>
      <w:tblPr>
        <w:tblStyle w:val="8"/>
        <w:tblW w:w="87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6613"/>
      </w:tblGrid>
      <w:tr w14:paraId="25D4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A3A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平台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9FC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模块</w:t>
            </w:r>
          </w:p>
        </w:tc>
        <w:tc>
          <w:tcPr>
            <w:tcW w:w="6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9E1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功能描述</w:t>
            </w:r>
          </w:p>
        </w:tc>
      </w:tr>
      <w:tr w14:paraId="23DC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6CB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AI助教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75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智能问答与知识答疑</w:t>
            </w:r>
          </w:p>
        </w:tc>
        <w:tc>
          <w:tcPr>
            <w:tcW w:w="6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5B77">
            <w:pPr>
              <w:keepNext w:val="0"/>
              <w:keepLines w:val="0"/>
              <w:widowControl/>
              <w:suppressLineNumbers w:val="0"/>
              <w:ind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功能描述：利用自然语言处理和知识图谱技术，自动解析学生提出的问题，匹配课程内容及相关知识点，提供即时准确的答案。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实现要点：集成教育领域大模型，持续学习并更新知识库，确保问题解答的时效性和准确性。</w:t>
            </w:r>
          </w:p>
        </w:tc>
      </w:tr>
      <w:tr w14:paraId="2EB1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0C0E2">
            <w:pPr>
              <w:jc w:val="center"/>
              <w:rPr>
                <w:rFonts w:hint="eastAsia" w:ascii="宋体" w:hAnsi="宋体" w:eastAsia="宋体" w:cs="宋体"/>
                <w:i w:val="0"/>
                <w:iCs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C2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资源查找</w:t>
            </w:r>
          </w:p>
        </w:tc>
        <w:tc>
          <w:tcPr>
            <w:tcW w:w="6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4DFE">
            <w:pPr>
              <w:keepNext w:val="0"/>
              <w:keepLines w:val="0"/>
              <w:widowControl/>
              <w:suppressLineNumbers w:val="0"/>
              <w:ind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学生可针对不同的学习点向AI助教提出资源推荐的需求，如“有没有人工智能相关的资源？”“给我推荐一些数控相关的文献。”AI助教可智能分析学生的资源检索需求，并按需推送不同类型的优质学习资源。</w:t>
            </w:r>
          </w:p>
        </w:tc>
      </w:tr>
      <w:tr w14:paraId="45F6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1B92B">
            <w:pPr>
              <w:jc w:val="center"/>
              <w:rPr>
                <w:rFonts w:hint="eastAsia" w:ascii="宋体" w:hAnsi="宋体" w:eastAsia="宋体" w:cs="宋体"/>
                <w:i w:val="0"/>
                <w:iCs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01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资源推荐</w:t>
            </w:r>
          </w:p>
        </w:tc>
        <w:tc>
          <w:tcPr>
            <w:tcW w:w="6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731A">
            <w:pPr>
              <w:keepNext w:val="0"/>
              <w:keepLines w:val="0"/>
              <w:widowControl/>
              <w:suppressLineNumbers w:val="0"/>
              <w:ind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针对学生学习进度和掌握情况，针对性的推荐学习资源，包括课内资源和学习拓展资源，满足学生一站式的自主学习体验。</w:t>
            </w:r>
          </w:p>
        </w:tc>
      </w:tr>
      <w:tr w14:paraId="3C3E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13F1D">
            <w:pPr>
              <w:jc w:val="center"/>
              <w:rPr>
                <w:rFonts w:hint="eastAsia" w:ascii="宋体" w:hAnsi="宋体" w:eastAsia="宋体" w:cs="宋体"/>
                <w:i w:val="0"/>
                <w:iCs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16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行为督促</w:t>
            </w:r>
          </w:p>
        </w:tc>
        <w:tc>
          <w:tcPr>
            <w:tcW w:w="6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BF1E">
            <w:pPr>
              <w:keepNext w:val="0"/>
              <w:keepLines w:val="0"/>
              <w:widowControl/>
              <w:suppressLineNumbers w:val="0"/>
              <w:ind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AI助教会根据时间段给出不同的温馨提醒语，提供学习时间管理建议，激励学生保持学习动力。</w:t>
            </w:r>
          </w:p>
        </w:tc>
      </w:tr>
      <w:tr w14:paraId="2F14F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37AA5">
            <w:pPr>
              <w:jc w:val="center"/>
              <w:rPr>
                <w:rFonts w:hint="eastAsia" w:ascii="宋体" w:hAnsi="宋体" w:eastAsia="宋体" w:cs="宋体"/>
                <w:i w:val="0"/>
                <w:iCs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20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应用调用</w:t>
            </w:r>
          </w:p>
        </w:tc>
        <w:tc>
          <w:tcPr>
            <w:tcW w:w="6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0B28">
            <w:pPr>
              <w:keepNext w:val="0"/>
              <w:keepLines w:val="0"/>
              <w:widowControl/>
              <w:suppressLineNumbers w:val="0"/>
              <w:ind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支持用户在管理后台知识库进行问答维护时，嵌入学校微应用或其他外挂链接。用户在与AI助教进行互动沟通时，可根据问答对匹配相关应用进行推荐。</w:t>
            </w:r>
          </w:p>
        </w:tc>
      </w:tr>
      <w:tr w14:paraId="667B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7F9EF">
            <w:pPr>
              <w:jc w:val="center"/>
              <w:rPr>
                <w:rFonts w:hint="eastAsia" w:ascii="宋体" w:hAnsi="宋体" w:eastAsia="宋体" w:cs="宋体"/>
                <w:i w:val="0"/>
                <w:iCs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11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课堂管理与互动增强</w:t>
            </w:r>
          </w:p>
        </w:tc>
        <w:tc>
          <w:tcPr>
            <w:tcW w:w="6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44CF">
            <w:pPr>
              <w:keepNext w:val="0"/>
              <w:keepLines w:val="0"/>
              <w:widowControl/>
              <w:suppressLineNumbers w:val="0"/>
              <w:ind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功能描述：支持课堂内的实时互动管理，如管理学生举手、静音/取消静音、移除课堂不合规成员等；提供课堂录制、直播管理等功能。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实现要点：集成课堂管理工具，优化用户体验，保障课堂秩序；采用低延迟传输技术确保直播流畅。</w:t>
            </w:r>
          </w:p>
        </w:tc>
      </w:tr>
      <w:tr w14:paraId="27C7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B1A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AI智能教学应用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7E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章节内容智能编写</w:t>
            </w:r>
          </w:p>
        </w:tc>
        <w:tc>
          <w:tcPr>
            <w:tcW w:w="6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467A">
            <w:pPr>
              <w:keepNext w:val="0"/>
              <w:keepLines w:val="0"/>
              <w:widowControl/>
              <w:suppressLineNumbers w:val="0"/>
              <w:ind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教师可以向智能写作助手提出需求，点击“生成”，写作助手会根据要求创作相应的内容，老师点击保存可以将内容输出到章节编辑页面上，老师可再进行文本修改、删减或排版，大大提高教师编写效率。</w:t>
            </w:r>
          </w:p>
        </w:tc>
      </w:tr>
      <w:tr w14:paraId="66D0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803E6">
            <w:pPr>
              <w:jc w:val="center"/>
              <w:rPr>
                <w:rFonts w:hint="eastAsia" w:ascii="宋体" w:hAnsi="宋体" w:eastAsia="宋体" w:cs="宋体"/>
                <w:i w:val="0"/>
                <w:iCs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86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章节内容审查</w:t>
            </w:r>
          </w:p>
        </w:tc>
        <w:tc>
          <w:tcPr>
            <w:tcW w:w="6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0AB4">
            <w:pPr>
              <w:keepNext w:val="0"/>
              <w:keepLines w:val="0"/>
              <w:widowControl/>
              <w:suppressLineNumbers w:val="0"/>
              <w:ind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帮助教师实现文字自动校对，包括错字、漏字、缺字、多字等都可以实现自动校对标注。</w:t>
            </w:r>
          </w:p>
        </w:tc>
      </w:tr>
      <w:tr w14:paraId="25A6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53EA3">
            <w:pPr>
              <w:jc w:val="center"/>
              <w:rPr>
                <w:rFonts w:hint="eastAsia" w:ascii="宋体" w:hAnsi="宋体" w:eastAsia="宋体" w:cs="宋体"/>
                <w:i w:val="0"/>
                <w:iCs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3A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智能标记知识点</w:t>
            </w:r>
          </w:p>
        </w:tc>
        <w:tc>
          <w:tcPr>
            <w:tcW w:w="6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2255">
            <w:pPr>
              <w:keepNext w:val="0"/>
              <w:keepLines w:val="0"/>
              <w:widowControl/>
              <w:suppressLineNumbers w:val="0"/>
              <w:ind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章节中插入视频，借助AI技术实现自动标记知识点，视频中涉及的知识点将被自动识别并形成知识点进度条和知识点词云。学生可以清晰地了解视频涵盖的知识范围和重点，有助于他们更系统地学习和复习相关知识。同时，教师也能够更好地把握教学重点，为学生提供针对性的指导和辅导。</w:t>
            </w:r>
          </w:p>
        </w:tc>
      </w:tr>
      <w:tr w14:paraId="103C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1DA73">
            <w:pPr>
              <w:jc w:val="center"/>
              <w:rPr>
                <w:rFonts w:hint="eastAsia" w:ascii="宋体" w:hAnsi="宋体" w:eastAsia="宋体" w:cs="宋体"/>
                <w:i w:val="0"/>
                <w:iCs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9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AI教案</w:t>
            </w:r>
          </w:p>
        </w:tc>
        <w:tc>
          <w:tcPr>
            <w:tcW w:w="6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2EA7">
            <w:pPr>
              <w:keepNext w:val="0"/>
              <w:keepLines w:val="0"/>
              <w:widowControl/>
              <w:suppressLineNumbers w:val="0"/>
              <w:ind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教师输入知识点或教学材料，AI自动生成教案，并支持教师进行再次编辑。</w:t>
            </w:r>
          </w:p>
        </w:tc>
      </w:tr>
      <w:tr w14:paraId="5A54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AF9A">
            <w:pPr>
              <w:jc w:val="center"/>
              <w:rPr>
                <w:rFonts w:hint="eastAsia" w:ascii="宋体" w:hAnsi="宋体" w:eastAsia="宋体" w:cs="宋体"/>
                <w:i w:val="0"/>
                <w:iCs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6A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主观题AI打分</w:t>
            </w:r>
          </w:p>
        </w:tc>
        <w:tc>
          <w:tcPr>
            <w:tcW w:w="6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F7AC">
            <w:pPr>
              <w:keepNext w:val="0"/>
              <w:keepLines w:val="0"/>
              <w:widowControl/>
              <w:suppressLineNumbers w:val="0"/>
              <w:ind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语义相似度计算：利用语义相似度计算给出学生相应的得分，通过深度学习等技术来模拟人类对语义相似度的判断，从而更准确地评估学生的答案质量。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得分点匹配：系统可以根据教师设置的得分点来匹配得分，确保评分符合标准化要求，同时满足教学目标和评价体系。</w:t>
            </w:r>
          </w:p>
        </w:tc>
      </w:tr>
      <w:tr w14:paraId="6670E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8BC6">
            <w:pPr>
              <w:jc w:val="center"/>
              <w:rPr>
                <w:rFonts w:hint="eastAsia" w:ascii="宋体" w:hAnsi="宋体" w:eastAsia="宋体" w:cs="宋体"/>
                <w:i w:val="0"/>
                <w:iCs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4C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公式识别</w:t>
            </w:r>
          </w:p>
        </w:tc>
        <w:tc>
          <w:tcPr>
            <w:tcW w:w="6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1CD5">
            <w:pPr>
              <w:keepNext w:val="0"/>
              <w:keepLines w:val="0"/>
              <w:widowControl/>
              <w:suppressLineNumbers w:val="0"/>
              <w:ind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智能导入时支持识别word文档中的LateX公式源码，自动转换成LateX公式展示，并且支持直接在线编辑。</w:t>
            </w:r>
          </w:p>
        </w:tc>
      </w:tr>
      <w:tr w14:paraId="5B43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0AB13">
            <w:pPr>
              <w:jc w:val="center"/>
              <w:rPr>
                <w:rFonts w:hint="eastAsia" w:ascii="宋体" w:hAnsi="宋体" w:eastAsia="宋体" w:cs="宋体"/>
                <w:i w:val="0"/>
                <w:iCs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34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AI出题</w:t>
            </w:r>
          </w:p>
        </w:tc>
        <w:tc>
          <w:tcPr>
            <w:tcW w:w="6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CB38">
            <w:pPr>
              <w:keepNext w:val="0"/>
              <w:keepLines w:val="0"/>
              <w:widowControl/>
              <w:suppressLineNumbers w:val="0"/>
              <w:ind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AI智能出题允许教师通过输入相关的教学材料和知识点，AI系统可以自动生成对应的题目。这些题目可以涵盖各种形式，包括选择题、填空题、简答题等，以便满足不同类型考题的需求。</w:t>
            </w:r>
          </w:p>
        </w:tc>
      </w:tr>
      <w:tr w14:paraId="1994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19B39">
            <w:pPr>
              <w:jc w:val="center"/>
              <w:rPr>
                <w:rFonts w:hint="eastAsia" w:ascii="宋体" w:hAnsi="宋体" w:eastAsia="宋体" w:cs="宋体"/>
                <w:i w:val="0"/>
                <w:iCs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C1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学生端写作OCR</w:t>
            </w:r>
          </w:p>
        </w:tc>
        <w:tc>
          <w:tcPr>
            <w:tcW w:w="6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8495">
            <w:pPr>
              <w:keepNext w:val="0"/>
              <w:keepLines w:val="0"/>
              <w:widowControl/>
              <w:suppressLineNumbers w:val="0"/>
              <w:ind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可以在写作题作答时直接上传已写好作文的图片。系统能够准确识别各种字体、大小和语言的文字。无论是手写的笔记，还是打印好的写作纸，都能够自动识别并提取图片中的文字内容，将其转化为可编辑的文本格式。</w:t>
            </w:r>
          </w:p>
        </w:tc>
      </w:tr>
      <w:tr w14:paraId="4CE9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FBF94">
            <w:pPr>
              <w:jc w:val="center"/>
              <w:rPr>
                <w:rFonts w:hint="eastAsia" w:ascii="宋体" w:hAnsi="宋体" w:eastAsia="宋体" w:cs="宋体"/>
                <w:i w:val="0"/>
                <w:iCs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90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个性化自测练习</w:t>
            </w:r>
          </w:p>
        </w:tc>
        <w:tc>
          <w:tcPr>
            <w:tcW w:w="6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BD01">
            <w:pPr>
              <w:keepNext w:val="0"/>
              <w:keepLines w:val="0"/>
              <w:widowControl/>
              <w:suppressLineNumbers w:val="0"/>
              <w:ind w:firstLineChars="20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每个学生的错题和知识点掌握率，自动为学生进行薄弱知识点的辅导，可以根据学生错题和知识点掌握率优先推送薄弱知识点相关的题目。后续将支持生成相似题、变式题的个性化练习，帮助学生加强知识点理解。</w:t>
            </w:r>
          </w:p>
        </w:tc>
      </w:tr>
    </w:tbl>
    <w:p w14:paraId="5A49A01B">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b/>
          <w:bCs/>
          <w:color w:val="auto"/>
          <w:sz w:val="28"/>
          <w:szCs w:val="28"/>
          <w:highlight w:val="none"/>
          <w:lang w:val="en-US" w:eastAsia="zh-CN"/>
        </w:rPr>
        <w:t>3.1 AI助教问答管理</w:t>
      </w:r>
    </w:p>
    <w:p w14:paraId="5749C0CF">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支持自定义添加、编辑、删除业务问答分类，分类数量无限制；</w:t>
      </w:r>
    </w:p>
    <w:p w14:paraId="16FD8C5D">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支持自定义添加、编辑、删除、批量导入、批量导出、批量删除业务问答规则，业务问答规则数量无限制；</w:t>
      </w:r>
    </w:p>
    <w:p w14:paraId="591D2EC2">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支持手工启用、停用业务问答规则，可根据关键词搜索业务内容；</w:t>
      </w:r>
    </w:p>
    <w:p w14:paraId="32779F09">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业务问答规则中，答案支持文本、图片、视频、自定义级联菜单、图文混排、链接等多种内容；</w:t>
      </w:r>
    </w:p>
    <w:p w14:paraId="0B4BE7E5">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业务问答支持关联微应用，支持关联本单位的已有应用与自建应用；</w:t>
      </w:r>
    </w:p>
    <w:p w14:paraId="70FD6A3E">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自定义添加、编辑业务问答中问题标签，并根据标签进行问答提示；</w:t>
      </w:r>
    </w:p>
    <w:p w14:paraId="103B3EE2">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支持用户手动上传文档至问答库，上传后系统可对上传的文档进行解析，解析后可智能回答文档相关问题；</w:t>
      </w:r>
    </w:p>
    <w:p w14:paraId="0644300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支持同步校本网络教学平台已建设的网络课程资料进行智能解析，解析后可围绕课程内容进行人机问答；（需附相关截图证明材料加盖公章）</w:t>
      </w:r>
    </w:p>
    <w:p w14:paraId="7DA3AAB3">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支持根据用户输入问题进行匹配提示，问答无匹配时，提供语义相似度最高的热门问题；</w:t>
      </w:r>
    </w:p>
    <w:p w14:paraId="033A1F3D">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支持未知问题回复语、欢迎语、阈值、访客端常见问题的自定义设置。</w:t>
      </w:r>
    </w:p>
    <w:p w14:paraId="1FC52DC3">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b/>
          <w:bCs/>
          <w:color w:val="auto"/>
          <w:sz w:val="28"/>
          <w:szCs w:val="28"/>
          <w:highlight w:val="none"/>
          <w:lang w:val="en-US" w:eastAsia="zh-CN"/>
        </w:rPr>
        <w:t>3.2 AI助教智能问答</w:t>
      </w:r>
    </w:p>
    <w:p w14:paraId="1F555C00">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支持多轮对话，可基于上一个问题的回答继续进行后续问答；</w:t>
      </w:r>
    </w:p>
    <w:p w14:paraId="56FCEA61">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提问时支持通过语音输入问题；</w:t>
      </w:r>
    </w:p>
    <w:p w14:paraId="072DBA4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提问时支持上传图片通过读取图片内的问题进行提问；（需附相关截图证明材料加盖公章）</w:t>
      </w:r>
    </w:p>
    <w:p w14:paraId="1EE033FD">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提问时支持用户上传文档，让大模型围绕此份文档智能回答相关问题，用户可自主选择是否需要大模型回复；</w:t>
      </w:r>
    </w:p>
    <w:p w14:paraId="71CF6943">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助教输出的答案支持显示来源，可截取显示与答案有关的原文内容，也可通过来源跳转回原文全文展开学习；</w:t>
      </w:r>
    </w:p>
    <w:p w14:paraId="5D5DE608">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助教可针对原文文档进行智能解析，可提炼该文档的概述、导图等内容，并可提炼文档相关问答，结合文档内容针对性实现智能问答；</w:t>
      </w:r>
    </w:p>
    <w:p w14:paraId="7392B839">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支持用户针对回答答案进行是否满意的选择，满意和不满意问题均会记录至后台，管理员可将其二次修改后加入问答库；（需附相关截图证明材料加盖公章）</w:t>
      </w:r>
    </w:p>
    <w:p w14:paraId="0F7F4B7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问答时支持智能推荐问题关联的相关微应用；</w:t>
      </w:r>
    </w:p>
    <w:p w14:paraId="14FC6134">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支持查询图书、期刊等文献，根据用户输入问题推荐相关文献，图书、期刊等推荐文献支持通过在线查看原文、文献传递等途径获取；</w:t>
      </w:r>
    </w:p>
    <w:p w14:paraId="592CCBA3">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支持针对用户网络课程学习进度和掌握情况，个性化推荐学习资源，其中拓展资源包括图书、期刊等文献，并且推荐的文献支持在线查看详情；（需附相关截图证明材料加盖公章）</w:t>
      </w:r>
    </w:p>
    <w:p w14:paraId="5615C686">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供应商需提供移动端APP，移动端APP需支持多角色切换（角色至少包括：学习角色、教学角色和管理角色），同一移动端APP完成教、学、管等功能。（需提供平台功能截图加盖公章）</w:t>
      </w:r>
    </w:p>
    <w:p w14:paraId="2983B6AD">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b/>
          <w:bCs/>
          <w:color w:val="auto"/>
          <w:sz w:val="28"/>
          <w:szCs w:val="28"/>
          <w:highlight w:val="none"/>
          <w:lang w:val="en-US" w:eastAsia="zh-CN"/>
        </w:rPr>
        <w:t>3.3 AI助教数据统计</w:t>
      </w:r>
    </w:p>
    <w:p w14:paraId="0A7DAD1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机器可自动对没有答案的问题描述进行关键词识别并统计聚类，按照关键词问答频率由高到低排序，同时可以批量导出未知问题；</w:t>
      </w:r>
    </w:p>
    <w:p w14:paraId="4A9AF56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支持统计历史会话，可按照时间范围、使用渠道等维度进行筛选，并可查看、导出会话具体内容；</w:t>
      </w:r>
    </w:p>
    <w:p w14:paraId="33B0CDE2">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支持统计访客信息，可分时间段了解访客访问趋势、地区等信息；支持分时间段查看问答匹配率、满意率的占比；支持查看热门问答；支持统计回复类型占比；支持统计问答库不同分类的问答比率。</w:t>
      </w:r>
    </w:p>
    <w:p w14:paraId="3029C56E">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三、 供应商资格要求</w:t>
      </w:r>
    </w:p>
    <w:p w14:paraId="229F0ED2">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具有独立承担民事责任能力的在中华人民共和国境内注册的法人或其他组织</w:t>
      </w:r>
      <w:r>
        <w:rPr>
          <w:rFonts w:hint="eastAsia" w:asciiTheme="minorEastAsia" w:hAnsiTheme="minorEastAsia"/>
          <w:color w:val="auto"/>
          <w:sz w:val="28"/>
          <w:szCs w:val="28"/>
          <w:highlight w:val="none"/>
          <w:lang w:eastAsia="zh-CN"/>
        </w:rPr>
        <w:t>；</w:t>
      </w:r>
      <w:r>
        <w:rPr>
          <w:rFonts w:hint="eastAsia" w:asciiTheme="minorEastAsia" w:hAnsiTheme="minorEastAsia"/>
          <w:b/>
          <w:bCs/>
          <w:color w:val="auto"/>
          <w:sz w:val="28"/>
          <w:szCs w:val="28"/>
          <w:highlight w:val="none"/>
          <w:lang w:eastAsia="zh-CN"/>
        </w:rPr>
        <w:t>（</w:t>
      </w:r>
      <w:r>
        <w:rPr>
          <w:rFonts w:hint="eastAsia" w:asciiTheme="minorEastAsia" w:hAnsiTheme="minorEastAsia"/>
          <w:b/>
          <w:bCs/>
          <w:color w:val="auto"/>
          <w:sz w:val="28"/>
          <w:szCs w:val="28"/>
          <w:highlight w:val="none"/>
        </w:rPr>
        <w:t>提供有效的营业执照副本复印件</w:t>
      </w:r>
      <w:r>
        <w:rPr>
          <w:rFonts w:hint="eastAsia" w:asciiTheme="minorEastAsia" w:hAnsiTheme="minorEastAsia"/>
          <w:b/>
          <w:bCs/>
          <w:color w:val="auto"/>
          <w:sz w:val="28"/>
          <w:szCs w:val="28"/>
          <w:highlight w:val="none"/>
          <w:lang w:val="en-US" w:eastAsia="zh-CN"/>
        </w:rPr>
        <w:t>加盖公章）</w:t>
      </w:r>
    </w:p>
    <w:p w14:paraId="4717DEFD">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参加采购活动前三年内，在经营活动中没有重大违法记录</w:t>
      </w:r>
      <w:r>
        <w:rPr>
          <w:rFonts w:hint="eastAsia" w:asciiTheme="minorEastAsia" w:hAnsiTheme="minorEastAsia"/>
          <w:color w:val="auto"/>
          <w:sz w:val="28"/>
          <w:szCs w:val="28"/>
          <w:highlight w:val="none"/>
          <w:lang w:eastAsia="zh-CN"/>
        </w:rPr>
        <w:t>；</w:t>
      </w:r>
      <w:r>
        <w:rPr>
          <w:rFonts w:hint="eastAsia" w:asciiTheme="minorEastAsia" w:hAnsiTheme="minorEastAsia"/>
          <w:b/>
          <w:bCs/>
          <w:color w:val="auto"/>
          <w:sz w:val="28"/>
          <w:szCs w:val="28"/>
          <w:highlight w:val="none"/>
        </w:rPr>
        <w:t>（提供书面声明</w:t>
      </w:r>
      <w:r>
        <w:rPr>
          <w:rFonts w:hint="eastAsia" w:asciiTheme="minorEastAsia" w:hAnsiTheme="minorEastAsia"/>
          <w:b/>
          <w:bCs/>
          <w:color w:val="auto"/>
          <w:sz w:val="28"/>
          <w:szCs w:val="28"/>
          <w:highlight w:val="none"/>
          <w:lang w:val="en-US" w:eastAsia="zh-CN"/>
        </w:rPr>
        <w:t>加盖公章</w:t>
      </w:r>
      <w:r>
        <w:rPr>
          <w:rFonts w:hint="eastAsia" w:asciiTheme="minorEastAsia" w:hAnsiTheme="minorEastAsia"/>
          <w:b/>
          <w:bCs/>
          <w:color w:val="auto"/>
          <w:sz w:val="28"/>
          <w:szCs w:val="28"/>
          <w:highlight w:val="none"/>
        </w:rPr>
        <w:t>）</w:t>
      </w:r>
    </w:p>
    <w:p w14:paraId="0DB33DB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b/>
          <w:bCs/>
          <w:color w:val="auto"/>
          <w:sz w:val="28"/>
          <w:szCs w:val="28"/>
          <w:highlight w:val="none"/>
          <w:lang w:eastAsia="zh-CN"/>
        </w:rPr>
      </w:pPr>
      <w:r>
        <w:rPr>
          <w:rFonts w:hint="eastAsia" w:asciiTheme="minorEastAsia" w:hAnsiTheme="minorEastAsia"/>
          <w:color w:val="auto"/>
          <w:sz w:val="28"/>
          <w:szCs w:val="28"/>
          <w:highlight w:val="none"/>
        </w:rPr>
        <w:t>具有ISO9001质量管理体系认证证书</w:t>
      </w:r>
      <w:r>
        <w:rPr>
          <w:rFonts w:hint="eastAsia" w:asciiTheme="minorEastAsia" w:hAnsiTheme="minorEastAsia"/>
          <w:color w:val="auto"/>
          <w:sz w:val="28"/>
          <w:szCs w:val="28"/>
          <w:highlight w:val="none"/>
          <w:lang w:eastAsia="zh-CN"/>
        </w:rPr>
        <w:t>；</w:t>
      </w:r>
      <w:r>
        <w:rPr>
          <w:rFonts w:hint="eastAsia" w:asciiTheme="minorEastAsia" w:hAnsiTheme="minorEastAsia"/>
          <w:b/>
          <w:bCs/>
          <w:color w:val="auto"/>
          <w:sz w:val="28"/>
          <w:szCs w:val="28"/>
          <w:highlight w:val="none"/>
        </w:rPr>
        <w:t>（提供</w:t>
      </w:r>
      <w:r>
        <w:rPr>
          <w:rFonts w:hint="eastAsia" w:asciiTheme="minorEastAsia" w:hAnsiTheme="minorEastAsia"/>
          <w:b/>
          <w:bCs/>
          <w:color w:val="auto"/>
          <w:sz w:val="28"/>
          <w:szCs w:val="28"/>
          <w:highlight w:val="none"/>
          <w:lang w:val="en-US" w:eastAsia="zh-CN"/>
        </w:rPr>
        <w:t>相关证书</w:t>
      </w:r>
      <w:r>
        <w:rPr>
          <w:rFonts w:hint="eastAsia" w:asciiTheme="minorEastAsia" w:hAnsiTheme="minorEastAsia"/>
          <w:b/>
          <w:bCs/>
          <w:color w:val="auto"/>
          <w:sz w:val="28"/>
          <w:szCs w:val="28"/>
          <w:highlight w:val="none"/>
        </w:rPr>
        <w:t>复印件</w:t>
      </w:r>
      <w:r>
        <w:rPr>
          <w:rFonts w:hint="eastAsia" w:asciiTheme="minorEastAsia" w:hAnsiTheme="minorEastAsia"/>
          <w:b/>
          <w:bCs/>
          <w:color w:val="auto"/>
          <w:sz w:val="28"/>
          <w:szCs w:val="28"/>
          <w:highlight w:val="none"/>
          <w:lang w:val="en-US" w:eastAsia="zh-CN"/>
        </w:rPr>
        <w:t>加盖公章</w:t>
      </w:r>
      <w:r>
        <w:rPr>
          <w:rFonts w:hint="eastAsia" w:asciiTheme="minorEastAsia" w:hAnsiTheme="minorEastAsia"/>
          <w:b/>
          <w:bCs/>
          <w:color w:val="auto"/>
          <w:sz w:val="28"/>
          <w:szCs w:val="28"/>
          <w:highlight w:val="none"/>
        </w:rPr>
        <w:t>）</w:t>
      </w:r>
    </w:p>
    <w:p w14:paraId="4EFB955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color w:val="auto"/>
          <w:sz w:val="28"/>
          <w:szCs w:val="28"/>
          <w:highlight w:val="none"/>
        </w:rPr>
        <w:t>具备履行合同所必需的专业技术能力，提供近三年（2022年至今）至少2个类似在线课程建设或教育平台开发项目的成功案例证明</w:t>
      </w:r>
      <w:r>
        <w:rPr>
          <w:rFonts w:hint="eastAsia" w:asciiTheme="minorEastAsia" w:hAnsiTheme="minorEastAsia"/>
          <w:color w:val="auto"/>
          <w:sz w:val="28"/>
          <w:szCs w:val="28"/>
          <w:highlight w:val="none"/>
          <w:lang w:eastAsia="zh-CN"/>
        </w:rPr>
        <w:t>；</w:t>
      </w:r>
      <w:r>
        <w:rPr>
          <w:rFonts w:hint="eastAsia" w:asciiTheme="minorEastAsia" w:hAnsiTheme="minorEastAsia"/>
          <w:b/>
          <w:bCs/>
          <w:color w:val="auto"/>
          <w:sz w:val="28"/>
          <w:szCs w:val="28"/>
          <w:highlight w:val="none"/>
        </w:rPr>
        <w:t>（提供合同关键页复印件</w:t>
      </w:r>
      <w:r>
        <w:rPr>
          <w:rFonts w:hint="eastAsia" w:asciiTheme="minorEastAsia" w:hAnsiTheme="minorEastAsia"/>
          <w:b/>
          <w:bCs/>
          <w:color w:val="auto"/>
          <w:sz w:val="28"/>
          <w:szCs w:val="28"/>
          <w:highlight w:val="none"/>
          <w:lang w:val="en-US" w:eastAsia="zh-CN"/>
        </w:rPr>
        <w:t>加盖公章</w:t>
      </w:r>
      <w:r>
        <w:rPr>
          <w:rFonts w:hint="eastAsia" w:asciiTheme="minorEastAsia" w:hAnsiTheme="minorEastAsia"/>
          <w:b/>
          <w:bCs/>
          <w:color w:val="auto"/>
          <w:sz w:val="28"/>
          <w:szCs w:val="28"/>
          <w:highlight w:val="none"/>
        </w:rPr>
        <w:t>）</w:t>
      </w:r>
    </w:p>
    <w:p w14:paraId="2C2E26B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为保障用户体验与数据一致性，供应商应提供统一的移动学习应用。须提供该移动端APP的名称，及在主流应用商店（如华为应用市场、App Store）的</w:t>
      </w:r>
      <w:r>
        <w:rPr>
          <w:rFonts w:hint="eastAsia" w:asciiTheme="minorEastAsia" w:hAnsiTheme="minorEastAsia"/>
          <w:b/>
          <w:bCs/>
          <w:color w:val="auto"/>
          <w:sz w:val="28"/>
          <w:szCs w:val="28"/>
          <w:highlight w:val="none"/>
          <w:lang w:val="en-US" w:eastAsia="zh-CN"/>
        </w:rPr>
        <w:t>上架截图证明并加盖公章</w:t>
      </w:r>
      <w:r>
        <w:rPr>
          <w:rFonts w:hint="eastAsia" w:asciiTheme="minorEastAsia" w:hAnsiTheme="minorEastAsia"/>
          <w:color w:val="auto"/>
          <w:sz w:val="28"/>
          <w:szCs w:val="28"/>
          <w:highlight w:val="none"/>
          <w:lang w:val="en-US" w:eastAsia="zh-CN"/>
        </w:rPr>
        <w:t>。同一APP应能支持学生、教师、管理员等多角色切换；</w:t>
      </w:r>
    </w:p>
    <w:p w14:paraId="715D17E0">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质量要求：</w:t>
      </w:r>
      <w:r>
        <w:rPr>
          <w:rFonts w:hint="eastAsia" w:asciiTheme="minorEastAsia" w:hAnsiTheme="minorEastAsia"/>
          <w:b/>
          <w:bCs/>
          <w:color w:val="auto"/>
          <w:sz w:val="28"/>
          <w:szCs w:val="28"/>
          <w:highlight w:val="none"/>
        </w:rPr>
        <w:t>（提供</w:t>
      </w:r>
      <w:r>
        <w:rPr>
          <w:rFonts w:hint="eastAsia" w:asciiTheme="minorEastAsia" w:hAnsiTheme="minorEastAsia"/>
          <w:b/>
          <w:bCs/>
          <w:color w:val="auto"/>
          <w:sz w:val="28"/>
          <w:szCs w:val="28"/>
          <w:highlight w:val="none"/>
          <w:lang w:val="en-US" w:eastAsia="zh-CN"/>
        </w:rPr>
        <w:t>承诺函</w:t>
      </w:r>
      <w:bookmarkStart w:id="8" w:name="_GoBack"/>
      <w:bookmarkEnd w:id="8"/>
      <w:r>
        <w:rPr>
          <w:rFonts w:hint="eastAsia" w:asciiTheme="minorEastAsia" w:hAnsiTheme="minorEastAsia"/>
          <w:b/>
          <w:bCs/>
          <w:color w:val="auto"/>
          <w:sz w:val="28"/>
          <w:szCs w:val="28"/>
          <w:highlight w:val="none"/>
          <w:lang w:val="en-US" w:eastAsia="zh-CN"/>
        </w:rPr>
        <w:t>加盖公章</w:t>
      </w:r>
      <w:r>
        <w:rPr>
          <w:rFonts w:hint="eastAsia" w:asciiTheme="minorEastAsia" w:hAnsiTheme="minorEastAsia"/>
          <w:b/>
          <w:bCs/>
          <w:color w:val="auto"/>
          <w:sz w:val="28"/>
          <w:szCs w:val="28"/>
          <w:highlight w:val="none"/>
        </w:rPr>
        <w:t>）</w:t>
      </w:r>
    </w:p>
    <w:p w14:paraId="250D408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1.提供不少于3年的免费质保期。质保范围包括系统BUG修复、因服务器环境导致的技术故障、以及本合同项下所有软件功能的正常使用。</w:t>
      </w:r>
    </w:p>
    <w:p w14:paraId="6C1CC5D9">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2.提供7*8小时电话/在线支持。接到故障报修后，2小时内远程响应；若远程无法解决，应在24小时内派员到达现场处理。</w:t>
      </w:r>
    </w:p>
    <w:p w14:paraId="2CF442A5">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rPr>
        <w:t>3.项目验收合格后，每学年度应为我方提供不少于2次的系统应用培训，培训内容应涵盖系统更新功能、高级应用技巧等。</w:t>
      </w:r>
    </w:p>
    <w:p w14:paraId="5FBD8048">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人员要求：</w:t>
      </w:r>
    </w:p>
    <w:p w14:paraId="384AE37F">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GB"/>
        </w:rPr>
        <w:t>供应商应提供为本项目配备的专业团队名单及职责，包括项目经理、课程设计师、拍摄制作人员、技术开发及运维人员等，并附主要人员相关资质及项目经验证明。</w:t>
      </w:r>
    </w:p>
    <w:p w14:paraId="7D631561">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val="en-US" w:eastAsia="zh-CN"/>
        </w:rPr>
        <w:t>四</w:t>
      </w:r>
      <w:r>
        <w:rPr>
          <w:rFonts w:hint="eastAsia" w:asciiTheme="minorEastAsia" w:hAnsiTheme="minorEastAsia"/>
          <w:b/>
          <w:bCs/>
          <w:color w:val="auto"/>
          <w:sz w:val="28"/>
          <w:szCs w:val="28"/>
          <w:highlight w:val="none"/>
        </w:rPr>
        <w:t>、 验收标准与付款方式</w:t>
      </w:r>
    </w:p>
    <w:p w14:paraId="4E22EFCD">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val="en-US" w:eastAsia="zh-CN"/>
        </w:rPr>
        <w:t>1、</w:t>
      </w:r>
      <w:r>
        <w:rPr>
          <w:rFonts w:hint="eastAsia" w:asciiTheme="minorEastAsia" w:hAnsiTheme="minorEastAsia"/>
          <w:b/>
          <w:bCs/>
          <w:color w:val="auto"/>
          <w:sz w:val="28"/>
          <w:szCs w:val="28"/>
          <w:highlight w:val="none"/>
        </w:rPr>
        <w:t>验收标准：</w:t>
      </w:r>
    </w:p>
    <w:p w14:paraId="3BECF93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所有交付物应符合本需求书的规定要求。</w:t>
      </w:r>
    </w:p>
    <w:p w14:paraId="4A7CDB38">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视频内容、数量、时长、技术参数达标。</w:t>
      </w:r>
    </w:p>
    <w:p w14:paraId="275EAF90">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知识图谱与AI助教的核心功能运行稳定，满足教学演示需求。</w:t>
      </w:r>
    </w:p>
    <w:p w14:paraId="303C864B">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供应商需提供完整的交付物清单及使用说明文档。</w:t>
      </w:r>
    </w:p>
    <w:p w14:paraId="2EE3AEEB">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验收将由我校组织相关专家，通过成果演示、功能测试、资料审核等方式进行。</w:t>
      </w:r>
    </w:p>
    <w:p w14:paraId="71B0887C">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lang w:val="en-US" w:eastAsia="zh-CN"/>
        </w:rPr>
        <w:t>2、</w:t>
      </w:r>
      <w:r>
        <w:rPr>
          <w:rFonts w:hint="eastAsia" w:asciiTheme="minorEastAsia" w:hAnsiTheme="minorEastAsia"/>
          <w:b/>
          <w:bCs/>
          <w:color w:val="auto"/>
          <w:sz w:val="28"/>
          <w:szCs w:val="28"/>
          <w:highlight w:val="none"/>
        </w:rPr>
        <w:t>付款方式：</w:t>
      </w:r>
    </w:p>
    <w:p w14:paraId="50EE49B9">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成交供应商应在</w:t>
      </w:r>
      <w:r>
        <w:rPr>
          <w:rFonts w:hint="eastAsia" w:asciiTheme="minorEastAsia" w:hAnsiTheme="minorEastAsia"/>
          <w:color w:val="auto"/>
          <w:sz w:val="28"/>
          <w:szCs w:val="28"/>
          <w:highlight w:val="none"/>
          <w:lang w:val="en-US" w:eastAsia="zh-CN"/>
        </w:rPr>
        <w:t>中标公告公示结束</w:t>
      </w:r>
      <w:r>
        <w:rPr>
          <w:rFonts w:hint="eastAsia" w:asciiTheme="minorEastAsia" w:hAnsiTheme="minorEastAsia"/>
          <w:color w:val="auto"/>
          <w:sz w:val="28"/>
          <w:szCs w:val="28"/>
          <w:highlight w:val="none"/>
        </w:rPr>
        <w:t>后</w:t>
      </w:r>
      <w:r>
        <w:rPr>
          <w:rFonts w:hint="eastAsia" w:asciiTheme="minorEastAsia" w:hAnsiTheme="minorEastAsia"/>
          <w:color w:val="auto"/>
          <w:sz w:val="28"/>
          <w:szCs w:val="28"/>
          <w:highlight w:val="none"/>
          <w:lang w:val="en-US" w:eastAsia="zh-CN"/>
        </w:rPr>
        <w:t>7</w:t>
      </w:r>
      <w:r>
        <w:rPr>
          <w:rFonts w:hint="eastAsia" w:asciiTheme="minorEastAsia" w:hAnsiTheme="minorEastAsia"/>
          <w:color w:val="auto"/>
          <w:sz w:val="28"/>
          <w:szCs w:val="28"/>
          <w:highlight w:val="none"/>
        </w:rPr>
        <w:t>天内与采购人签订书面合同。</w:t>
      </w:r>
    </w:p>
    <w:p w14:paraId="1FDD10EC">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主要合同条款依据本</w:t>
      </w:r>
      <w:r>
        <w:rPr>
          <w:rFonts w:hint="eastAsia" w:asciiTheme="minorEastAsia" w:hAnsiTheme="minorEastAsia"/>
          <w:color w:val="auto"/>
          <w:sz w:val="28"/>
          <w:szCs w:val="28"/>
          <w:highlight w:val="none"/>
          <w:lang w:val="en-US" w:eastAsia="zh-CN"/>
        </w:rPr>
        <w:t>中标公告</w:t>
      </w:r>
      <w:r>
        <w:rPr>
          <w:rFonts w:hint="eastAsia" w:asciiTheme="minorEastAsia" w:hAnsiTheme="minorEastAsia"/>
          <w:color w:val="auto"/>
          <w:sz w:val="28"/>
          <w:szCs w:val="28"/>
          <w:highlight w:val="none"/>
        </w:rPr>
        <w:t>、成交供应商的报价文件及承诺确定。</w:t>
      </w:r>
    </w:p>
    <w:p w14:paraId="7EE4F495">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rPr>
        <w:t>付款方式：</w:t>
      </w:r>
      <w:r>
        <w:rPr>
          <w:rFonts w:hint="eastAsia" w:asciiTheme="minorEastAsia" w:hAnsiTheme="minorEastAsia"/>
          <w:color w:val="auto"/>
          <w:sz w:val="28"/>
          <w:szCs w:val="28"/>
          <w:highlight w:val="none"/>
          <w:lang w:val="en-US" w:eastAsia="zh-CN"/>
        </w:rPr>
        <w:t>中标结束签订合同后付首付款（合同总金额的50%），项目验收合格后付尾款（合同总金额的50%）。</w:t>
      </w:r>
    </w:p>
    <w:p w14:paraId="11095147">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lang w:val="en-US" w:eastAsia="zh-CN"/>
        </w:rPr>
      </w:pPr>
      <w:r>
        <w:rPr>
          <w:rFonts w:hint="eastAsia" w:asciiTheme="minorEastAsia" w:hAnsiTheme="minorEastAsia"/>
          <w:b/>
          <w:bCs/>
          <w:color w:val="auto"/>
          <w:sz w:val="28"/>
          <w:szCs w:val="28"/>
          <w:highlight w:val="none"/>
          <w:lang w:val="en-US" w:eastAsia="zh-CN"/>
        </w:rPr>
        <w:t>五、其他要求</w:t>
      </w:r>
    </w:p>
    <w:p w14:paraId="43AC4692">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b/>
          <w:bCs/>
          <w:color w:val="auto"/>
          <w:sz w:val="28"/>
          <w:szCs w:val="28"/>
          <w:highlight w:val="none"/>
          <w:lang w:val="en-US" w:eastAsia="zh-CN"/>
        </w:rPr>
        <w:t>知识产权：</w:t>
      </w:r>
      <w:r>
        <w:rPr>
          <w:rFonts w:hint="eastAsia" w:asciiTheme="minorEastAsia" w:hAnsiTheme="minorEastAsia"/>
          <w:color w:val="auto"/>
          <w:sz w:val="28"/>
          <w:szCs w:val="28"/>
          <w:highlight w:val="none"/>
          <w:lang w:val="en-US" w:eastAsia="zh-CN"/>
        </w:rPr>
        <w:t>本项目产出的所有课程视频、教学脚本、PPT等内容的著作权归南京机电职业技术学院所有。供应商须保证所提供的软件、技术、资料不侵犯任何第三方的知识产权。</w:t>
      </w:r>
    </w:p>
    <w:p w14:paraId="24F2144B">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b/>
          <w:bCs/>
          <w:color w:val="auto"/>
          <w:sz w:val="28"/>
          <w:szCs w:val="28"/>
          <w:highlight w:val="none"/>
          <w:lang w:val="en-US" w:eastAsia="zh-CN"/>
        </w:rPr>
        <w:t>数据安全：</w:t>
      </w:r>
      <w:r>
        <w:rPr>
          <w:rFonts w:hint="eastAsia" w:asciiTheme="minorEastAsia" w:hAnsiTheme="minorEastAsia"/>
          <w:color w:val="auto"/>
          <w:sz w:val="28"/>
          <w:szCs w:val="28"/>
          <w:highlight w:val="none"/>
          <w:lang w:val="en-US" w:eastAsia="zh-CN"/>
        </w:rPr>
        <w:t>供应商须承诺严格遵守国家网络安全与数据隐私相关法律法规，制定相应的数据安全管理方案，确保我校师生数据安全。</w:t>
      </w:r>
    </w:p>
    <w:p w14:paraId="600F5461">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b/>
          <w:bCs/>
          <w:color w:val="auto"/>
          <w:sz w:val="28"/>
          <w:szCs w:val="28"/>
          <w:highlight w:val="none"/>
          <w:lang w:val="en-US" w:eastAsia="zh-CN"/>
        </w:rPr>
        <w:t>保密条款：</w:t>
      </w:r>
      <w:r>
        <w:rPr>
          <w:rFonts w:hint="eastAsia" w:asciiTheme="minorEastAsia" w:hAnsiTheme="minorEastAsia"/>
          <w:color w:val="auto"/>
          <w:sz w:val="28"/>
          <w:szCs w:val="28"/>
          <w:highlight w:val="none"/>
          <w:lang w:val="en-US" w:eastAsia="zh-CN"/>
        </w:rPr>
        <w:t>未经采购人同意，供应商不得向任何第三方泄露本项目涉及的任何技术资料、商业秘密及教学数据。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007E1BE2"/>
    <w:rsid w:val="000027E0"/>
    <w:rsid w:val="00024FC6"/>
    <w:rsid w:val="004268D9"/>
    <w:rsid w:val="00591FF2"/>
    <w:rsid w:val="00633CD6"/>
    <w:rsid w:val="007D3C45"/>
    <w:rsid w:val="007E1BE2"/>
    <w:rsid w:val="00843D11"/>
    <w:rsid w:val="008B218F"/>
    <w:rsid w:val="00A55B02"/>
    <w:rsid w:val="00AC7920"/>
    <w:rsid w:val="00AE0852"/>
    <w:rsid w:val="00B26891"/>
    <w:rsid w:val="00CB4A0E"/>
    <w:rsid w:val="04361403"/>
    <w:rsid w:val="07734891"/>
    <w:rsid w:val="07BA51B8"/>
    <w:rsid w:val="095E199F"/>
    <w:rsid w:val="0BB74168"/>
    <w:rsid w:val="0D906017"/>
    <w:rsid w:val="15687431"/>
    <w:rsid w:val="16FE31B3"/>
    <w:rsid w:val="176D18FC"/>
    <w:rsid w:val="18DB455A"/>
    <w:rsid w:val="192F392C"/>
    <w:rsid w:val="1ED760C2"/>
    <w:rsid w:val="24BD3D45"/>
    <w:rsid w:val="3A8E62F6"/>
    <w:rsid w:val="3F1E3F88"/>
    <w:rsid w:val="40A30B3B"/>
    <w:rsid w:val="40E816EB"/>
    <w:rsid w:val="44641089"/>
    <w:rsid w:val="47054B6D"/>
    <w:rsid w:val="488C30EF"/>
    <w:rsid w:val="49480555"/>
    <w:rsid w:val="4F143711"/>
    <w:rsid w:val="50085A3B"/>
    <w:rsid w:val="50381B83"/>
    <w:rsid w:val="59C50EE7"/>
    <w:rsid w:val="5A4B6FA9"/>
    <w:rsid w:val="5AD8372F"/>
    <w:rsid w:val="62CE02E9"/>
    <w:rsid w:val="6A936125"/>
    <w:rsid w:val="6EC13F75"/>
    <w:rsid w:val="6F683CDF"/>
    <w:rsid w:val="715F4A1C"/>
    <w:rsid w:val="71EF1183"/>
    <w:rsid w:val="7BE219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tabs>
        <w:tab w:val="left" w:pos="420"/>
      </w:tabs>
      <w:adjustRightInd w:val="0"/>
      <w:snapToGrid w:val="0"/>
      <w:spacing w:before="50" w:beforeLines="50" w:after="50" w:afterLines="50" w:line="360" w:lineRule="auto"/>
      <w:ind w:firstLine="1928" w:firstLineChars="200"/>
      <w:jc w:val="left"/>
      <w:outlineLvl w:val="2"/>
    </w:pPr>
    <w:rPr>
      <w:rFonts w:ascii="仿宋" w:hAnsi="仿宋" w:eastAsia="仿宋" w:cs="Times New Roman"/>
      <w:b/>
      <w:color w:val="000000" w:themeColor="text1"/>
      <w:kern w:val="44"/>
      <w:sz w:val="28"/>
      <w14:textFill>
        <w14:solidFill>
          <w14:schemeClr w14:val="tx1"/>
        </w14:solidFill>
      </w14:textFill>
    </w:rPr>
  </w:style>
  <w:style w:type="paragraph" w:styleId="3">
    <w:name w:val="heading 4"/>
    <w:basedOn w:val="1"/>
    <w:next w:val="1"/>
    <w:unhideWhenUsed/>
    <w:qFormat/>
    <w:uiPriority w:val="0"/>
    <w:pPr>
      <w:keepNext/>
      <w:keepLines/>
      <w:adjustRightInd w:val="0"/>
      <w:snapToGrid w:val="0"/>
      <w:spacing w:before="280" w:after="290" w:line="372" w:lineRule="auto"/>
      <w:ind w:firstLine="1928" w:firstLineChars="200"/>
      <w:outlineLvl w:val="3"/>
    </w:pPr>
    <w:rPr>
      <w:rFonts w:ascii="仿宋" w:hAnsi="仿宋" w:eastAsia="仿宋"/>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semiHidden/>
    <w:unhideWhenUsed/>
    <w:qFormat/>
    <w:uiPriority w:val="99"/>
    <w:pPr>
      <w:spacing w:after="120"/>
    </w:p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link w:val="13"/>
    <w:unhideWhenUsed/>
    <w:qFormat/>
    <w:uiPriority w:val="0"/>
    <w:pPr>
      <w:ind w:firstLine="420" w:firstLineChars="100"/>
    </w:pPr>
    <w:rPr>
      <w:rFonts w:ascii="Times New Roman" w:hAnsi="Times New Roman" w:eastAsia="Calibri" w:cs="宋体"/>
      <w:kern w:val="0"/>
      <w:sz w:val="20"/>
      <w:szCs w:val="20"/>
      <w:lang w:val="zh-CN"/>
    </w:r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 w:type="character" w:customStyle="1" w:styleId="12">
    <w:name w:val="正文文本 Char"/>
    <w:basedOn w:val="9"/>
    <w:link w:val="4"/>
    <w:semiHidden/>
    <w:qFormat/>
    <w:uiPriority w:val="99"/>
  </w:style>
  <w:style w:type="character" w:customStyle="1" w:styleId="13">
    <w:name w:val="正文首行缩进 Char"/>
    <w:basedOn w:val="12"/>
    <w:link w:val="7"/>
    <w:qFormat/>
    <w:uiPriority w:val="0"/>
    <w:rPr>
      <w:rFonts w:ascii="Times New Roman" w:hAnsi="Times New Roman" w:eastAsia="Calibri" w:cs="宋体"/>
      <w:kern w:val="0"/>
      <w:sz w:val="20"/>
      <w:szCs w:val="20"/>
      <w:lang w:val="zh-CN"/>
    </w:rPr>
  </w:style>
  <w:style w:type="table" w:customStyle="1" w:styleId="14">
    <w:name w:val="Table Normal"/>
    <w:unhideWhenUsed/>
    <w:qFormat/>
    <w:uiPriority w:val="0"/>
    <w:rPr>
      <w:lang w:val="en-US" w:eastAsia="zh-CN" w:bidi="ar-SA"/>
    </w:rPr>
    <w:tblPr>
      <w:tblCellMar>
        <w:top w:w="0" w:type="dxa"/>
        <w:left w:w="0" w:type="dxa"/>
        <w:bottom w:w="0" w:type="dxa"/>
        <w:right w:w="0" w:type="dxa"/>
      </w:tblCellMar>
    </w:tblPr>
  </w:style>
  <w:style w:type="paragraph" w:styleId="15">
    <w:name w:val="List Paragraph"/>
    <w:basedOn w:val="1"/>
    <w:qFormat/>
    <w:uiPriority w:val="34"/>
    <w:pPr>
      <w:ind w:left="720"/>
      <w:contextualSpacing/>
      <w:jc w:val="left"/>
    </w:pPr>
    <w:rPr>
      <w:sz w:val="22"/>
      <w14:ligatures w14:val="standardContextual"/>
    </w:rPr>
  </w:style>
  <w:style w:type="paragraph" w:customStyle="1" w:styleId="16">
    <w:name w:val="列出段落1"/>
    <w:basedOn w:val="1"/>
    <w:qFormat/>
    <w:uiPriority w:val="0"/>
    <w:pPr>
      <w:spacing w:line="0" w:lineRule="atLeast"/>
      <w:ind w:firstLine="420" w:firstLineChars="200"/>
    </w:pPr>
    <w:rPr>
      <w:rFonts w:eastAsia="微软雅黑"/>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4472</Words>
  <Characters>5212</Characters>
  <Lines>4</Lines>
  <Paragraphs>1</Paragraphs>
  <TotalTime>4</TotalTime>
  <ScaleCrop>false</ScaleCrop>
  <LinksUpToDate>false</LinksUpToDate>
  <CharactersWithSpaces>5220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2025-03-03T04:35:00Z</dcterms:created>
  <dc:creator>Lenovo</dc:creator>
  <cp:lastModifiedBy>stanly</cp:lastModifiedBy>
  <dcterms:modified xsi:type="dcterms:W3CDTF">2025-11-03T12:18:03Z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66B6ADC0E45E491089B1668ECD0367AE_13</vt:lpwstr>
  </property>
  <property fmtid="{D5CDD505-2E9C-101B-9397-08002B2CF9AE}" pid="4" name="KSOTemplateDocerSaveRecord">
    <vt:lpwstr>eyJoZGlkIjoiODJlZjY1Y2RjMDM5NDgyYTQ3ODJkNzhmYjc4MWE2OWIiLCJ1c2VySWQiOiIzODU1MzIyNzYifQ==</vt:lpwstr>
  </property>
</Properties>
</file>